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60" w:lineRule="auto"/>
        <w:rPr>
          <w:rFonts w:ascii="Aptos" w:cs="Aptos" w:eastAsia="Aptos" w:hAnsi="Aptos"/>
        </w:rPr>
      </w:pPr>
      <w:bookmarkStart w:colFirst="0" w:colLast="0" w:name="_k0xeuxmtvrx" w:id="0"/>
      <w:bookmarkEnd w:id="0"/>
      <w:r w:rsidDel="00000000" w:rsidR="00000000" w:rsidRPr="00000000">
        <w:rPr>
          <w:rFonts w:ascii="Aptos" w:cs="Aptos" w:eastAsia="Aptos" w:hAnsi="Aptos"/>
          <w:rtl w:val="0"/>
        </w:rPr>
        <w:t xml:space="preserve">Additional Data and Empirics</w:t>
      </w:r>
    </w:p>
    <w:p w:rsidR="00000000" w:rsidDel="00000000" w:rsidP="00000000" w:rsidRDefault="00000000" w:rsidRPr="00000000" w14:paraId="00000002">
      <w:pPr>
        <w:pStyle w:val="Heading2"/>
        <w:spacing w:after="160" w:lineRule="auto"/>
        <w:rPr>
          <w:rFonts w:ascii="Aptos" w:cs="Aptos" w:eastAsia="Aptos" w:hAnsi="Aptos"/>
        </w:rPr>
      </w:pPr>
      <w:bookmarkStart w:colFirst="0" w:colLast="0" w:name="_4d5vq6cjgmbf" w:id="1"/>
      <w:bookmarkEnd w:id="1"/>
      <w:r w:rsidDel="00000000" w:rsidR="00000000" w:rsidRPr="00000000">
        <w:rPr>
          <w:rFonts w:ascii="Aptos" w:cs="Aptos" w:eastAsia="Aptos" w:hAnsi="Aptos"/>
          <w:rtl w:val="0"/>
        </w:rPr>
        <w:t xml:space="preserve">Appendix A</w:t>
      </w:r>
    </w:p>
    <w:p w:rsidR="00000000" w:rsidDel="00000000" w:rsidP="00000000" w:rsidRDefault="00000000" w:rsidRPr="00000000" w14:paraId="00000003">
      <w:pPr>
        <w:pStyle w:val="Heading4"/>
        <w:spacing w:after="160" w:lineRule="auto"/>
        <w:rPr>
          <w:rFonts w:ascii="Aptos" w:cs="Aptos" w:eastAsia="Aptos" w:hAnsi="Aptos"/>
        </w:rPr>
      </w:pPr>
      <w:bookmarkStart w:colFirst="0" w:colLast="0" w:name="_nwqo563jmvzr" w:id="2"/>
      <w:bookmarkEnd w:id="2"/>
      <w:r w:rsidDel="00000000" w:rsidR="00000000" w:rsidRPr="00000000">
        <w:rPr>
          <w:rFonts w:ascii="Aptos" w:cs="Aptos" w:eastAsia="Aptos" w:hAnsi="Aptos"/>
          <w:rtl w:val="0"/>
        </w:rPr>
        <w:t xml:space="preserve">Table 1: Economic Hardship Variables, US Excluded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.4658385093167"/>
        <w:gridCol w:w="1220.8695652173915"/>
        <w:gridCol w:w="1206.3354037267081"/>
        <w:gridCol w:w="1177.2670807453417"/>
        <w:gridCol w:w="1148.1987577639752"/>
        <w:gridCol w:w="1133.6645962732919"/>
        <w:gridCol w:w="1148.1987577639752"/>
        <w:tblGridChange w:id="0">
          <w:tblGrid>
            <w:gridCol w:w="2325.4658385093167"/>
            <w:gridCol w:w="1220.8695652173915"/>
            <w:gridCol w:w="1206.3354037267081"/>
            <w:gridCol w:w="1177.2670807453417"/>
            <w:gridCol w:w="1148.1987577639752"/>
            <w:gridCol w:w="1133.6645962732919"/>
            <w:gridCol w:w="1148.1987577639752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Variable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Max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Range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Mean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Std Dev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&gt;= Mean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0.046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-1.74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Unemployment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6.554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</w:t>
            </w:r>
          </w:p>
        </w:tc>
      </w:tr>
    </w:tbl>
    <w:p w:rsidR="00000000" w:rsidDel="00000000" w:rsidP="00000000" w:rsidRDefault="00000000" w:rsidRPr="00000000" w14:paraId="00000020">
      <w:pPr>
        <w:pStyle w:val="Heading4"/>
        <w:spacing w:after="160" w:lineRule="auto"/>
        <w:rPr>
          <w:rFonts w:ascii="Aptos" w:cs="Aptos" w:eastAsia="Aptos" w:hAnsi="Aptos"/>
        </w:rPr>
      </w:pPr>
      <w:bookmarkStart w:colFirst="0" w:colLast="0" w:name="_lyd0lgl496qf" w:id="3"/>
      <w:bookmarkEnd w:id="3"/>
      <w:r w:rsidDel="00000000" w:rsidR="00000000" w:rsidRPr="00000000">
        <w:rPr>
          <w:rFonts w:ascii="Aptos" w:cs="Aptos" w:eastAsia="Aptos" w:hAnsi="Aptos"/>
          <w:rtl w:val="0"/>
        </w:rPr>
        <w:t xml:space="preserve">Table 2: Economic Hardship Variables, US Included</w:t>
      </w:r>
    </w:p>
    <w:tbl>
      <w:tblPr>
        <w:tblStyle w:val="Table2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.4658385093167"/>
        <w:gridCol w:w="1220.8695652173915"/>
        <w:gridCol w:w="1206.3354037267081"/>
        <w:gridCol w:w="1177.2670807453417"/>
        <w:gridCol w:w="1148.1987577639752"/>
        <w:gridCol w:w="1133.6645962732919"/>
        <w:gridCol w:w="1148.1987577639752"/>
        <w:tblGridChange w:id="0">
          <w:tblGrid>
            <w:gridCol w:w="2325.4658385093167"/>
            <w:gridCol w:w="1220.8695652173915"/>
            <w:gridCol w:w="1206.3354037267081"/>
            <w:gridCol w:w="1177.2670807453417"/>
            <w:gridCol w:w="1148.1987577639752"/>
            <w:gridCol w:w="1133.6645962732919"/>
            <w:gridCol w:w="1148.1987577639752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Variable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Max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Range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Mean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Std Dev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ffffff" w:space="0" w:sz="24" w:val="single"/>
              <w:right w:color="ffffff" w:space="0" w:sz="6" w:val="single"/>
            </w:tcBorders>
            <w:shd w:fill="15608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&gt;= Mean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0.048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-1.74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2.942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56082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Unemployment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2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6.448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e7eae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6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</w:t>
            </w:r>
          </w:p>
        </w:tc>
      </w:tr>
    </w:tbl>
    <w:p w:rsidR="00000000" w:rsidDel="00000000" w:rsidP="00000000" w:rsidRDefault="00000000" w:rsidRPr="00000000" w14:paraId="0000003D">
      <w:pPr>
        <w:spacing w:after="1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Explained in the Empirics section, here are relevant values for constructing the economic hardship variable. GINI has a relatively small range with very small deviation. All countries are on the low side of the GINI range, erring towards greater equity. Inflation has a high range due in part to negative inflation in 8 of the sampled countries election years, but the average in both tables is within a normal – and desired – inflation range. Unemployment has the greatest range, highest average, and greatest deviation although the fewest countries are above the mean. It has 9 outliers, the most of all 3 metrics. Unemployment likewise has the most difference in mean and standard deviation in both data sets.</w:t>
      </w:r>
    </w:p>
    <w:p w:rsidR="00000000" w:rsidDel="00000000" w:rsidP="00000000" w:rsidRDefault="00000000" w:rsidRPr="00000000" w14:paraId="0000003E">
      <w:pPr>
        <w:ind w:firstLine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Style w:val="Heading2"/>
        <w:spacing w:after="160" w:lineRule="auto"/>
        <w:jc w:val="both"/>
        <w:rPr>
          <w:rFonts w:ascii="Aptos" w:cs="Aptos" w:eastAsia="Aptos" w:hAnsi="Aptos"/>
        </w:rPr>
      </w:pPr>
      <w:bookmarkStart w:colFirst="0" w:colLast="0" w:name="_onuvb53es8pq" w:id="4"/>
      <w:bookmarkEnd w:id="4"/>
      <w:r w:rsidDel="00000000" w:rsidR="00000000" w:rsidRPr="00000000">
        <w:rPr>
          <w:rFonts w:ascii="Aptos" w:cs="Aptos" w:eastAsia="Aptos" w:hAnsi="Aptos"/>
          <w:rtl w:val="0"/>
        </w:rPr>
        <w:t xml:space="preserve">Appendix B</w:t>
      </w:r>
    </w:p>
    <w:p w:rsidR="00000000" w:rsidDel="00000000" w:rsidP="00000000" w:rsidRDefault="00000000" w:rsidRPr="00000000" w14:paraId="00000041">
      <w:pPr>
        <w:pStyle w:val="Heading4"/>
        <w:spacing w:after="160" w:lineRule="auto"/>
        <w:jc w:val="both"/>
        <w:rPr>
          <w:rFonts w:ascii="Aptos" w:cs="Aptos" w:eastAsia="Aptos" w:hAnsi="Aptos"/>
        </w:rPr>
      </w:pPr>
      <w:bookmarkStart w:colFirst="0" w:colLast="0" w:name="_y22lj0ad6cx8" w:id="5"/>
      <w:bookmarkEnd w:id="5"/>
      <w:r w:rsidDel="00000000" w:rsidR="00000000" w:rsidRPr="00000000">
        <w:rPr>
          <w:rFonts w:ascii="Aptos" w:cs="Aptos" w:eastAsia="Aptos" w:hAnsi="Aptos"/>
          <w:rtl w:val="0"/>
        </w:rPr>
        <w:t xml:space="preserve">Data and Sources</w:t>
      </w:r>
    </w:p>
    <w:tbl>
      <w:tblPr>
        <w:tblStyle w:val="Table3"/>
        <w:tblW w:w="10035.0" w:type="dxa"/>
        <w:jc w:val="left"/>
        <w:tblInd w:w="-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945"/>
        <w:gridCol w:w="720"/>
        <w:gridCol w:w="690"/>
        <w:gridCol w:w="1890"/>
        <w:gridCol w:w="1815"/>
        <w:gridCol w:w="435"/>
        <w:gridCol w:w="240"/>
        <w:gridCol w:w="1605"/>
        <w:tblGridChange w:id="0">
          <w:tblGrid>
            <w:gridCol w:w="1695"/>
            <w:gridCol w:w="945"/>
            <w:gridCol w:w="720"/>
            <w:gridCol w:w="690"/>
            <w:gridCol w:w="1890"/>
            <w:gridCol w:w="1815"/>
            <w:gridCol w:w="435"/>
            <w:gridCol w:w="240"/>
            <w:gridCol w:w="1605"/>
          </w:tblGrid>
        </w:tblGridChange>
      </w:tblGrid>
      <w:tr>
        <w:trPr>
          <w:cantSplit w:val="0"/>
          <w:trHeight w:val="1252.11914062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Country**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Year†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Party Abbrev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 Vote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 Fractionalization (as of 2013)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Immigration Inflow (in 1000/prior year)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Proportional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Hardship‡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153.800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223.700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236.000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FP√ñ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20.506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125.600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FP√ñ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16.174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131.700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FP√ñ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25.966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158.700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Belgium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105.500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Belgium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105.500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Belgium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Czechia (Czech Republic)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√ösvit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6.888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28.607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Czechia (Czech Republic)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34.808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Denmark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8.735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45.259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Denmark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Denmark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21.078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EKRE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EKRE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17.762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9.711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17.654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23.647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13.596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243.600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965.908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994.819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12.637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1719.075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2.901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6.972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Party Abbrev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 Vote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 Fractionalization (as of 2013)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Immigration Inflow (in 1000/prior year)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Proportional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Hardship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10.605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6.920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87.300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2.932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87.300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Hungary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Jobbik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20.583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Hungary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Jobbik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19.064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6.742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5.875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17.488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321.300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PFG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306.700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KPV LV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PVV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118.500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PVV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10.789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FvD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PVV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182.200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FvD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1.780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182.200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NZF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75.400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NZF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104.021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NZF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124.742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58.508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16.345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Party Abbrev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 Vote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 Fractionalization (as of 2013)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Immigration Inflow (in 1000/prior year)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Proportional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Hardship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8.809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31.977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KWiN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6.805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137.588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Portugal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93.200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ƒΩSNS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6.629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0.669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560.000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0.669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560.000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Sweden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20.537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74.626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Sweden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12.857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95.361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Sweden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17.534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124.976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Switzerland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EDU/UDF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140.087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Switzerland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SVP/UDC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25.589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140.100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Switzerland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SVP/UDC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29.386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152.106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364.600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SAADET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364.600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1033.384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11.731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1033.384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United States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Republicans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47.231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1031.765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United States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Republicans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48.348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1051.031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United States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Republicans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48.467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1062.040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48">
      <w:pPr>
        <w:spacing w:after="1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6.3252541047696"/>
        <w:gridCol w:w="402.5019546520719"/>
        <w:gridCol w:w="775.7310398749023"/>
        <w:gridCol w:w="475.6841282251759"/>
        <w:gridCol w:w="1975.9186864738078"/>
        <w:gridCol w:w="2078.373729476153"/>
        <w:gridCol w:w="739.1399530883502"/>
        <w:gridCol w:w="270.7740422204848"/>
        <w:gridCol w:w="1185.5512118842846"/>
        <w:tblGridChange w:id="0">
          <w:tblGrid>
            <w:gridCol w:w="1456.3252541047696"/>
            <w:gridCol w:w="402.5019546520719"/>
            <w:gridCol w:w="775.7310398749023"/>
            <w:gridCol w:w="475.6841282251759"/>
            <w:gridCol w:w="1975.9186864738078"/>
            <w:gridCol w:w="2078.373729476153"/>
            <w:gridCol w:w="739.1399530883502"/>
            <w:gridCol w:w="270.7740422204848"/>
            <w:gridCol w:w="1185.551211884284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Country**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Year†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Party Abbrev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 Vote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 Fractionalization (as of 2013)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Immigration Inflow (in 1000/prior year)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Proportional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Hardship‡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223.700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Party Abbrev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 Vote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 Fractionalization (as of 2013)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Immigration Inflow (in 1000/prior year)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Proportional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Hardship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236.000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153.800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13.596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243.600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965.908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12.637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1719.075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994.819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10.605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6.920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2.901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6.972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87.300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2.932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87.300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Hungary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Jobbik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20.583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Hungary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Jobbik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19.064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PFG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306.700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NZF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75.400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NZF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104.021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NZF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124.742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FP√ñ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25.966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158.700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FP√ñ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20.506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125.600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FP√ñ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16.174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131.700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Belgium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105.500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Belgium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105.500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Belgium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119.700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Czechia (Czech Republic)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√ösvit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6.888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28.607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Party Abbrev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 Vote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 Fractionalization (as of 2013)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Immigration Inflow (in 1000/prior year)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Proportional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Hardship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Czechia (Czech Republic)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34.808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Denmark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21.078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Denmark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8.735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45.259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Denmark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EKRE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EKRE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17.762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0.458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9.711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17.654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23.647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6.742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Israel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5.875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321.300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17.488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Latvia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KPV LV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PVV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118.500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PVV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182.200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FvD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1.780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182.200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PVV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10.789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FvD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58.508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16.345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8.809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31.977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KWiN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6.805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137.588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Portugal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93.200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Party Abbrev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 Vote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 Fractionalization (as of 2013)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Immigration Inflow (in 1000/prior year)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Proportional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ind w:left="-6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Economic Hardship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ƒΩSNS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line="276" w:lineRule="auto"/>
              <w:ind w:left="-620" w:firstLine="0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6.629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0.669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560.000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0.669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560.000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Sweden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12.857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95.361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Sweden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20.537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74.626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Sweden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17.534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124.976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Switzerland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SVP/UDC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29.386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152.106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Switzerland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EDU/UDF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140.087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Switzerland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SVP/UDC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25.589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140.100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364.600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SAADET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364.600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1033.384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11.731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0.521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1033.384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ind w:left="-6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634">
      <w:pPr>
        <w:spacing w:after="160" w:lineRule="auto"/>
        <w:rPr>
          <w:rFonts w:ascii="Times New Roman" w:cs="Times New Roman" w:eastAsia="Times New Roman" w:hAnsi="Times New Roman"/>
          <w:color w:val="467886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Sources: Year/Party/% Vote –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manifesto 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spacing w:after="160" w:lineRule="auto"/>
        <w:rPr>
          <w:rFonts w:ascii="Times New Roman" w:cs="Times New Roman" w:eastAsia="Times New Roman" w:hAnsi="Times New Roman"/>
          <w:color w:val="467886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Ethnic Fractionalization –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EUI Cadmus Research Repository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pacing w:after="160" w:lineRule="auto"/>
        <w:rPr>
          <w:rFonts w:ascii="Times New Roman" w:cs="Times New Roman" w:eastAsia="Times New Roman" w:hAnsi="Times New Roman"/>
          <w:color w:val="467886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Immigration Inflow –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OECD data on migration flow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spacing w:after="1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**Countries were not included in the sample set if data was missing</w:t>
      </w:r>
    </w:p>
    <w:p w:rsidR="00000000" w:rsidDel="00000000" w:rsidP="00000000" w:rsidRDefault="00000000" w:rsidRPr="00000000" w14:paraId="00000638">
      <w:pPr>
        <w:spacing w:after="1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Multiple party year totals reflect distinct national elections</w:t>
      </w:r>
    </w:p>
    <w:p w:rsidR="00000000" w:rsidDel="00000000" w:rsidP="00000000" w:rsidRDefault="00000000" w:rsidRPr="00000000" w14:paraId="00000639">
      <w:pPr>
        <w:spacing w:after="1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‡ Dataset 1 and 2 have different totals and corresponding countries due to value changes in mean-testing of formula as discussed in appendix a</w:t>
      </w:r>
    </w:p>
    <w:p w:rsidR="00000000" w:rsidDel="00000000" w:rsidP="00000000" w:rsidRDefault="00000000" w:rsidRPr="00000000" w14:paraId="000006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oecd.org/en/data/datasets/overview-data-on-migration-flows-and-migrant-populations.html" TargetMode="External"/><Relationship Id="rId10" Type="http://schemas.openxmlformats.org/officeDocument/2006/relationships/hyperlink" Target="https://www.oecd.org/en/data/datasets/overview-data-on-migration-flows-and-migrant-populations.html" TargetMode="External"/><Relationship Id="rId9" Type="http://schemas.openxmlformats.org/officeDocument/2006/relationships/hyperlink" Target="https://cadmus.eui.eu/handle/1814/64606" TargetMode="External"/><Relationship Id="rId5" Type="http://schemas.openxmlformats.org/officeDocument/2006/relationships/styles" Target="styles.xml"/><Relationship Id="rId6" Type="http://schemas.openxmlformats.org/officeDocument/2006/relationships/hyperlink" Target="https://manifesto-project.wzb.eu/information/documents/information" TargetMode="External"/><Relationship Id="rId7" Type="http://schemas.openxmlformats.org/officeDocument/2006/relationships/hyperlink" Target="https://manifesto-project.wzb.eu/information/documents/information" TargetMode="External"/><Relationship Id="rId8" Type="http://schemas.openxmlformats.org/officeDocument/2006/relationships/hyperlink" Target="https://cadmus.eui.eu/handle/1814/6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