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line="276" w:lineRule="auto"/>
        <w:ind w:left="125.76004028320312" w:right="128.42407226562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Flexible Agency: Advancing Inclusive Pedagogies through Universal Design for Learning (UDL)</w:t>
      </w:r>
    </w:p>
    <w:p w:rsidR="00000000" w:rsidDel="00000000" w:rsidP="00000000" w:rsidRDefault="00000000" w:rsidRPr="00000000" w14:paraId="00000003">
      <w:pPr>
        <w:widowControl w:val="0"/>
        <w:spacing w:line="276" w:lineRule="auto"/>
        <w:ind w:left="125.76004028320312" w:right="128.424072265625"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Samantha Michelle Guajardo</w:t>
      </w:r>
    </w:p>
    <w:p w:rsidR="00000000" w:rsidDel="00000000" w:rsidP="00000000" w:rsidRDefault="00000000" w:rsidRPr="00000000" w14:paraId="0000000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Memphis</w:t>
      </w:r>
    </w:p>
    <w:p w:rsidR="00000000" w:rsidDel="00000000" w:rsidP="00000000" w:rsidRDefault="00000000" w:rsidRPr="00000000" w14:paraId="00000006">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Alyssa Marie Radtke</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Memphis</w:t>
      </w:r>
    </w:p>
    <w:p w:rsidR="00000000" w:rsidDel="00000000" w:rsidP="00000000" w:rsidRDefault="00000000" w:rsidRPr="00000000" w14:paraId="00000009">
      <w:pPr>
        <w:widowControl w:val="0"/>
        <w:spacing w:line="276"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r w:rsidDel="00000000" w:rsidR="00000000" w:rsidRPr="00000000">
        <w:rPr>
          <w:rtl w:val="0"/>
        </w:rPr>
      </w:r>
    </w:p>
    <w:p w:rsidR="00000000" w:rsidDel="00000000" w:rsidP="00000000" w:rsidRDefault="00000000" w:rsidRPr="00000000" w14:paraId="0000000B">
      <w:pPr>
        <w:widowControl w:val="0"/>
        <w:spacing w:before="0" w:line="276" w:lineRule="auto"/>
        <w:ind w:left="0" w:right="63.1445312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and writing centers (CWCs) sit at a rhetorical crossroads often seen as spaces of  invention and collaboration yet steeped in higher education traditions that privilege able-bodied  voices and literacies. As the number of disclosed and undisclosed disabilities in higher education  increases (Curda, 2024), CWCs face a kairotic moment that calls us to reimagine how we  understand and teach communication. Fluency has long since been equated with eloquence, eye  contact with credibility, and physical presence with engagement. Yet, these assumptions reflect,  as Dolmage (2017) puts it, a “steep steps history” (p. 124). Thus, perpetuating a legacy of  exclusion. If CWCs are meant to be accessible pedagogical spaces, they must take up disability conscious frameworks, such as Universal Design for Learning (UDL), embodiment, and  multiliteracies as rhetorical commitments.  </w:t>
      </w:r>
    </w:p>
    <w:p w:rsidR="00000000" w:rsidDel="00000000" w:rsidP="00000000" w:rsidRDefault="00000000" w:rsidRPr="00000000" w14:paraId="0000000C">
      <w:pPr>
        <w:widowControl w:val="0"/>
        <w:spacing w:before="0" w:line="276" w:lineRule="auto"/>
        <w:ind w:right="87.86376953125" w:firstLine="729.62005615234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CWCs must turn to disability studies as a way to resist reductive models of  accommodation. As Browning and Cagle (2017) state, “The discipline of disability studies has  emerged over the last few decades, following the growth of the Disability Rights Movement” (p.  443). This movement was created as a way for persons with disabilities to gain social equality  and accessibility. Disability studies, as it has been shaped by scholars across disciplines  throughout the years, has rejected the medical model of disability—framing disabled people as  </w:t>
      </w:r>
      <w:r w:rsidDel="00000000" w:rsidR="00000000" w:rsidRPr="00000000">
        <w:rPr>
          <w:rFonts w:ascii="Times New Roman" w:cs="Times New Roman" w:eastAsia="Times New Roman" w:hAnsi="Times New Roman"/>
          <w:i w:val="1"/>
          <w:iCs w:val="1"/>
          <w:sz w:val="24"/>
          <w:szCs w:val="24"/>
          <w:rtl w:val="0"/>
        </w:rPr>
        <w:t xml:space="preserve">curable </w:t>
      </w:r>
      <w:r w:rsidDel="00000000" w:rsidR="00000000" w:rsidRPr="00000000">
        <w:rPr>
          <w:rFonts w:ascii="Times New Roman" w:cs="Times New Roman" w:eastAsia="Times New Roman" w:hAnsi="Times New Roman"/>
          <w:sz w:val="24"/>
          <w:szCs w:val="24"/>
          <w:rtl w:val="0"/>
        </w:rPr>
        <w:t xml:space="preserve">and keeping them from participation until that cure is achieved—and insisting that  exclusion is a model of institutional design (p. 443). This model is now less common in its pure  form; however, it still exists in academic spaces with the assumption that disabled students need  “services specialized and standardized to their diagnosis, not their personal goals” (Hitt, 2021,  pp. 67-84; Lang, 2017b, pp. 1-14). This has prompted scholars to interrogate how discourses of  ability circulate and how communication competence is constructed and policed. </w:t>
      </w:r>
    </w:p>
    <w:p w:rsidR="00000000" w:rsidDel="00000000" w:rsidP="00000000" w:rsidRDefault="00000000" w:rsidRPr="00000000" w14:paraId="0000000D">
      <w:pPr>
        <w:widowControl w:val="0"/>
        <w:spacing w:line="276" w:lineRule="auto"/>
        <w:ind w:left="1.920013427734375" w:right="34.600830078125" w:firstLine="722.90008544921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perspective of disability studies, pedagogy and praxis itself become a site of  rhetorical struggle. Browning and Cagle (2017) warn educators against the “add and stir” model,  in which disability is isolated to a single assignment or workshop (p. 444). To combat this cyclical model, disability studies invite educators to see how assumptions about bodies shape  social structures and environments. Indeed, a (still flawed, but useful) social model of disability  emerged out of the Disability Rights movement. This model assumes natural bodily variability  and seeks to improve access for all—documented disability or not (Lang, 2017b, pp. 1-14). The  social model is in tension with the disability model that dominates education at large: the  rehabilitation model. Recent scholarship highlights this rehabilitative slant and further situates  access as justice oriented. Marom and Hardwick (2025) draw on Tanya Titchkosky by arguing that “people require access to a general feeling of participation, meaningfulness, and belonging”  (p. 514). They argue that academic institutions are being organized around a “normate”—one  that excludes disabled students or only admits them through narrow-based channels (p. 515). As  they explain, higher education still encourages “valorize[d] perfection and stigmatize[s] anything  that hints at intellectual (or physical) weakness” (p. 515).  </w:t>
      </w:r>
    </w:p>
    <w:p w:rsidR="00000000" w:rsidDel="00000000" w:rsidP="00000000" w:rsidRDefault="00000000" w:rsidRPr="00000000" w14:paraId="0000000E">
      <w:pPr>
        <w:widowControl w:val="0"/>
        <w:spacing w:before="0" w:line="276" w:lineRule="auto"/>
        <w:ind w:left="0.240020751953125" w:right="7.705078125" w:firstLine="719.7599792480469"/>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pressures place the mantle of adaptation on individual students, who must navigate  the labyrinth of barriers while institutions maintain a semblance of inclusion. In practice, this  navigation requires a great deal of rhetorical labor disclosing/documenting one’s disability status,  as well as advocating for and educating about individual needs. This leads to what Annika  Konrad (2021) coined as “access fatigue” and means that accommodations most frequently  appear </w:t>
      </w:r>
      <w:r w:rsidDel="00000000" w:rsidR="00000000" w:rsidRPr="00000000">
        <w:rPr>
          <w:rFonts w:ascii="Times New Roman" w:cs="Times New Roman" w:eastAsia="Times New Roman" w:hAnsi="Times New Roman"/>
          <w:i w:val="1"/>
          <w:iCs w:val="1"/>
          <w:sz w:val="24"/>
          <w:szCs w:val="24"/>
          <w:rtl w:val="0"/>
        </w:rPr>
        <w:t xml:space="preserve">after </w:t>
      </w:r>
      <w:r w:rsidDel="00000000" w:rsidR="00000000" w:rsidRPr="00000000">
        <w:rPr>
          <w:rFonts w:ascii="Times New Roman" w:cs="Times New Roman" w:eastAsia="Times New Roman" w:hAnsi="Times New Roman"/>
          <w:sz w:val="24"/>
          <w:szCs w:val="24"/>
          <w:rtl w:val="0"/>
        </w:rPr>
        <w:t xml:space="preserve">the people who need them enter and advocate (Lang, 2017b, pp. 1-14). The  rhetorical challenge for CWCs, then, is to refuse complicity and instead cultivate access as  belonging by taking up the social model’s challenge to consider diverse needs and barriers to </w:t>
      </w:r>
    </w:p>
    <w:p w:rsidR="00000000" w:rsidDel="00000000" w:rsidP="00000000" w:rsidRDefault="00000000" w:rsidRPr="00000000" w14:paraId="0000000F">
      <w:pPr>
        <w:widowControl w:val="0"/>
        <w:spacing w:line="276" w:lineRule="auto"/>
        <w:ind w:right="49.920654296875" w:hanging="0.24002075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t>
      </w:r>
      <w:r w:rsidDel="00000000" w:rsidR="00000000" w:rsidRPr="00000000">
        <w:rPr>
          <w:rFonts w:ascii="Times New Roman" w:cs="Times New Roman" w:eastAsia="Times New Roman" w:hAnsi="Times New Roman"/>
          <w:i w:val="1"/>
          <w:iCs w:val="1"/>
          <w:sz w:val="24"/>
          <w:szCs w:val="24"/>
          <w:rtl w:val="0"/>
        </w:rPr>
        <w:t xml:space="preserve">before </w:t>
      </w:r>
      <w:r w:rsidDel="00000000" w:rsidR="00000000" w:rsidRPr="00000000">
        <w:rPr>
          <w:rFonts w:ascii="Times New Roman" w:cs="Times New Roman" w:eastAsia="Times New Roman" w:hAnsi="Times New Roman"/>
          <w:sz w:val="24"/>
          <w:szCs w:val="24"/>
          <w:rtl w:val="0"/>
        </w:rPr>
        <w:t xml:space="preserve">an overt access need appears in these spaces. Doing so has us poised to  reconfigure the norms of communicative success and help redesign rhetorical spaces, so disabled  bodies and voices are valued as central to the circulation of knowledge. However, we must also  remember that we, as communication and writing professionals, are not qualified to construct  from our sessions a diagnosis for a client (even if we suspect an undisclosed disability), which  means that cultivating a spirit of flexibility within our consulting styles is the best thing we can  do for ourselves and all of our clients. </w:t>
      </w:r>
    </w:p>
    <w:p w:rsidR="00000000" w:rsidDel="00000000" w:rsidP="00000000" w:rsidRDefault="00000000" w:rsidRPr="00000000" w14:paraId="00000010">
      <w:pPr>
        <w:widowControl w:val="0"/>
        <w:spacing w:before="0" w:line="276" w:lineRule="auto"/>
        <w:ind w:left="1.920013427734375" w:right="38.680419921875" w:firstLine="727.460021972656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areas of higher education underscore the urgency of reorientation towards more  inclusion, access, and agency. Sanchez-Rodriguez and LoGiudice (2018), write about library  access and remind educators that libraries have not yet amassed extensive resources in accessible  formats, as “libraries remain largely inaccessible to people with various disabilities” (p. 144).  Their study adds that access is about cultivating infrastructures of engagement that connect users  to resources in meaningful ways. This also applies to CWCs: access cannot be reduced to  materials or technologies alone, but it requires relational and rhetorical labor. Thus, access must  not remain static but continuously co-constructed with the agency of both the clients and  consultants in mind.  </w:t>
      </w:r>
    </w:p>
    <w:p w:rsidR="00000000" w:rsidDel="00000000" w:rsidP="00000000" w:rsidRDefault="00000000" w:rsidRPr="00000000" w14:paraId="00000011">
      <w:pPr>
        <w:widowControl w:val="0"/>
        <w:spacing w:before="210.5035400390625"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Overview of UDL </w:t>
      </w:r>
    </w:p>
    <w:p w:rsidR="00000000" w:rsidDel="00000000" w:rsidP="00000000" w:rsidRDefault="00000000" w:rsidRPr="00000000" w14:paraId="00000012">
      <w:pPr>
        <w:widowControl w:val="0"/>
        <w:spacing w:before="0" w:line="276" w:lineRule="auto"/>
        <w:ind w:left="0" w:right="18.74145507812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UDL is a flexible pedagogical framework that began in 1983 when Dr. David Rose and Dr. Anne  Meyer, two Harvard Graduate Education researchers co-founded The Center for Applied  Specialized Technology (CAST). The guidelines for UDL were first released in 2004 and apply  neuroscience principles to help address learner (client, for a CWC) variability and emphasize  learner/client agency and choice in classroom assignments and assessment design. They are a  learning-focused outgrowth of the slightly older (1960s/1970s) Universal Design (UD) </w:t>
      </w:r>
    </w:p>
    <w:p w:rsidR="00000000" w:rsidDel="00000000" w:rsidP="00000000" w:rsidRDefault="00000000" w:rsidRPr="00000000" w14:paraId="00000013">
      <w:pPr>
        <w:widowControl w:val="0"/>
        <w:spacing w:line="276" w:lineRule="auto"/>
        <w:ind w:left="1.920013427734375" w:right="167.303466796875" w:firstLine="0.48004150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movement—itself a facet of the Disability Rights movement, a set of physical and digital  guidelines—including considering the usefulness and intuitiveness of a design to diverse ability  levels/preferences. These guidelines are exemplified by things like curb cuts (helpful for  wheelchairs, yes, but also bikes and strollers) and lever door handles (requiring less hand  strength than a knob, yet still easy to use) (Center for Applied Specialized Technology [CAST],  2025b; North Carolina State [NC State], 1 April 1997). </w:t>
      </w:r>
    </w:p>
    <w:p w:rsidR="00000000" w:rsidDel="00000000" w:rsidP="00000000" w:rsidRDefault="00000000" w:rsidRPr="00000000" w14:paraId="00000014">
      <w:pPr>
        <w:widowControl w:val="0"/>
        <w:spacing w:before="0" w:line="276" w:lineRule="auto"/>
        <w:ind w:right="37.39990234375" w:firstLine="720.98007202148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UDL takes the UD guidelines’ social orientation and expands them into pedagogy.  CAST’s newest version of the UDL guidelines, 3.0, was released in 2024, with a particular focus  on addressing “barriers rooted in bias” and systemic exclusion. It has three main pillars: 1)  </w:t>
      </w:r>
      <w:r w:rsidDel="00000000" w:rsidR="00000000" w:rsidRPr="00000000">
        <w:rPr>
          <w:rFonts w:ascii="Times New Roman" w:cs="Times New Roman" w:eastAsia="Times New Roman" w:hAnsi="Times New Roman"/>
          <w:b w:val="1"/>
          <w:bCs w:val="1"/>
          <w:sz w:val="24"/>
          <w:szCs w:val="24"/>
          <w:rtl w:val="0"/>
        </w:rPr>
        <w:t xml:space="preserve">Engagement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why </w:t>
      </w:r>
      <w:r w:rsidDel="00000000" w:rsidR="00000000" w:rsidRPr="00000000">
        <w:rPr>
          <w:rFonts w:ascii="Times New Roman" w:cs="Times New Roman" w:eastAsia="Times New Roman" w:hAnsi="Times New Roman"/>
          <w:sz w:val="24"/>
          <w:szCs w:val="24"/>
          <w:rtl w:val="0"/>
        </w:rPr>
        <w:t xml:space="preserve">we are interested in learning), 2) </w:t>
      </w:r>
      <w:r w:rsidDel="00000000" w:rsidR="00000000" w:rsidRPr="00000000">
        <w:rPr>
          <w:rFonts w:ascii="Times New Roman" w:cs="Times New Roman" w:eastAsia="Times New Roman" w:hAnsi="Times New Roman"/>
          <w:b w:val="1"/>
          <w:bCs w:val="1"/>
          <w:sz w:val="24"/>
          <w:szCs w:val="24"/>
          <w:rtl w:val="0"/>
        </w:rPr>
        <w:t xml:space="preserve">Representation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what </w:t>
      </w:r>
      <w:r w:rsidDel="00000000" w:rsidR="00000000" w:rsidRPr="00000000">
        <w:rPr>
          <w:rFonts w:ascii="Times New Roman" w:cs="Times New Roman" w:eastAsia="Times New Roman" w:hAnsi="Times New Roman"/>
          <w:sz w:val="24"/>
          <w:szCs w:val="24"/>
          <w:rtl w:val="0"/>
        </w:rPr>
        <w:t xml:space="preserve">teachers are  teaching), and 3) </w:t>
      </w:r>
      <w:r w:rsidDel="00000000" w:rsidR="00000000" w:rsidRPr="00000000">
        <w:rPr>
          <w:rFonts w:ascii="Times New Roman" w:cs="Times New Roman" w:eastAsia="Times New Roman" w:hAnsi="Times New Roman"/>
          <w:b w:val="1"/>
          <w:bCs w:val="1"/>
          <w:sz w:val="24"/>
          <w:szCs w:val="24"/>
          <w:rtl w:val="0"/>
        </w:rPr>
        <w:t xml:space="preserve">Action and Expression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how </w:t>
      </w:r>
      <w:r w:rsidDel="00000000" w:rsidR="00000000" w:rsidRPr="00000000">
        <w:rPr>
          <w:rFonts w:ascii="Times New Roman" w:cs="Times New Roman" w:eastAsia="Times New Roman" w:hAnsi="Times New Roman"/>
          <w:sz w:val="24"/>
          <w:szCs w:val="24"/>
          <w:rtl w:val="0"/>
        </w:rPr>
        <w:t xml:space="preserve">learning is demonstrated). The pillars are further  subdivided into access, support, and executive function in the interactive guidelines on  </w:t>
      </w:r>
      <w:r w:rsidDel="00000000" w:rsidR="00000000" w:rsidRPr="00000000">
        <w:rPr>
          <w:rFonts w:ascii="Times New Roman" w:cs="Times New Roman" w:eastAsia="Times New Roman" w:hAnsi="Times New Roman"/>
          <w:sz w:val="24"/>
          <w:szCs w:val="24"/>
          <w:rtl w:val="0"/>
        </w:rPr>
        <w:t xml:space="preserve">https://udlguidelines.cast.org/.</w:t>
      </w:r>
      <w:r w:rsidDel="00000000" w:rsidR="00000000" w:rsidRPr="00000000">
        <w:rPr>
          <w:rFonts w:ascii="Times New Roman" w:cs="Times New Roman" w:eastAsia="Times New Roman" w:hAnsi="Times New Roman"/>
          <w:sz w:val="24"/>
          <w:szCs w:val="24"/>
          <w:rtl w:val="0"/>
        </w:rPr>
        <w:t xml:space="preserve"> Access is, of course, the first of these categories because it is  important to ensure that clients can connect their identities to the topics they are learning about— in terms of seeing the relevance and value of each assignment—as well as seeing the choices  they can make to answer a prompt. Access also encompasses all of the things a client might need  to interact with a space or information about a topic. Support is the next category, and focuses on  designing ways to help learners throughout the process of demonstrating their learning by  ensuring that both the goals of an assignment and the meanings of terms are clear, there is  collaborative community among classmates, “action-oriented feedback,” multiple means of  illustrating a concept (video, text, doodles, etc.) and “graduated supports” for practice and  performance. This category is where the instructional design “meat” is, which makes it  challenging in spaces like CWCs, where clients enter with full-fledged assignments we cannot </w:t>
      </w:r>
    </w:p>
    <w:p w:rsidR="00000000" w:rsidDel="00000000" w:rsidP="00000000" w:rsidRDefault="00000000" w:rsidRPr="00000000" w14:paraId="00000015">
      <w:pPr>
        <w:widowControl w:val="0"/>
        <w:spacing w:line="276" w:lineRule="auto"/>
        <w:ind w:right="80.760498046875" w:firstLine="8.639984130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While we are a support service for clients in the general sense of assisting a client at any  stage of a writing/speaking project, the differentiation of the common usage comes down to the  level of relationship we have with clients; “one-and-done” clients who come in for a single  session do not let us have the iterative insight of multiple drafts and discussions needed to offer  naturally graduated support, while “regulars” returning to us at multiple points throughout a  project allows for us to be better integrated into their support scaffolding in the UDL sense of  support. As a CWC likely has both kinds of clients, it can be helpful to acknowledge we will not  always have the consistency UDL assumes in its discussion of something so close to the core of  what we do. </w:t>
      </w:r>
    </w:p>
    <w:p w:rsidR="00000000" w:rsidDel="00000000" w:rsidP="00000000" w:rsidRDefault="00000000" w:rsidRPr="00000000" w14:paraId="00000016">
      <w:pPr>
        <w:widowControl w:val="0"/>
        <w:spacing w:before="0" w:line="276" w:lineRule="auto"/>
        <w:ind w:left="2.880096435546875" w:right="18.759765625" w:firstLine="717.119903564453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category of UDL is executive function. Executive function, according to the  Cleveland Clinic (2024), refers to a set of “cognitive skills that help people to manage their  thoughts, emotions, and behaviors to achieve goals.” It includes things like the cognitive  flexibility needed to adapt to changes, plan, and organize, as well as the working memory needed  to hold onto information as a person is using it for a task. Executive function also covers  emotional inhibition—managing responses to distractions and “putting the brakes” on emotional  triggers. These skills are not innate, but learned, and are common challenges faced by clients. As  such, supporting it in UDL includes helping learners recognize assignment expectations and their  own motivations, organizing information and resources in such a way to help clients anticipate  challenges and develop strategies to meet them, connecting new knowledge to prior learning,  exploring patterns and connections within and between concepts, and giving space for reflection. </w:t>
      </w:r>
    </w:p>
    <w:p w:rsidR="00000000" w:rsidDel="00000000" w:rsidP="00000000" w:rsidRDefault="00000000" w:rsidRPr="00000000" w14:paraId="00000017">
      <w:pPr>
        <w:widowControl w:val="0"/>
        <w:spacing w:before="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widowControl w:val="0"/>
        <w:spacing w:before="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 </w:t>
      </w:r>
    </w:p>
    <w:p w:rsidR="00000000" w:rsidDel="00000000" w:rsidP="00000000" w:rsidRDefault="00000000" w:rsidRPr="00000000" w14:paraId="00000019">
      <w:pPr>
        <w:widowControl w:val="0"/>
        <w:spacing w:before="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widowControl w:val="0"/>
        <w:spacing w:before="0" w:line="276" w:lineRule="auto"/>
        <w:ind w:left="5.0399780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Rethinking Communicative Norms</w:t>
      </w:r>
      <w:r w:rsidDel="00000000" w:rsidR="00000000" w:rsidRPr="00000000">
        <w:rPr>
          <w:rtl w:val="0"/>
        </w:rPr>
      </w:r>
    </w:p>
    <w:p w:rsidR="00000000" w:rsidDel="00000000" w:rsidP="00000000" w:rsidRDefault="00000000" w:rsidRPr="00000000" w14:paraId="0000001B">
      <w:pPr>
        <w:widowControl w:val="0"/>
        <w:spacing w:line="276" w:lineRule="auto"/>
        <w:ind w:left="0" w:right="162.50366210937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CWCs often reproduce normative expectations of communicative competence, privileging fluency, eye contact, and expressiveness as indicators of rhetorical success. As Dolmage (2017)  observes, higher education has adopted a “steep steps history” that links access to retrofitted,  rehabilitative accommodations rather than proactive designs (p. 124). Thus, positioning able bodied and neurotypical performance as customary, leaving those who communicate differently  at risk of being seen as </w:t>
      </w:r>
      <w:r w:rsidDel="00000000" w:rsidR="00000000" w:rsidRPr="00000000">
        <w:rPr>
          <w:rFonts w:ascii="Times New Roman" w:cs="Times New Roman" w:eastAsia="Times New Roman" w:hAnsi="Times New Roman"/>
          <w:i w:val="1"/>
          <w:iCs w:val="1"/>
          <w:sz w:val="24"/>
          <w:szCs w:val="24"/>
          <w:rtl w:val="0"/>
        </w:rPr>
        <w:t xml:space="preserve">defective</w:t>
      </w:r>
      <w:r w:rsidDel="00000000" w:rsidR="00000000" w:rsidRPr="00000000">
        <w:rPr>
          <w:rFonts w:ascii="Times New Roman" w:cs="Times New Roman" w:eastAsia="Times New Roman" w:hAnsi="Times New Roman"/>
          <w:sz w:val="24"/>
          <w:szCs w:val="24"/>
          <w:rtl w:val="0"/>
        </w:rPr>
        <w:t xml:space="preserve">. Price (2011) similarly states how “the ‘universal’ part of the  UD/UDL monikers expresses [a lofty] aim rather than an accomplished fact,” reaffirming the  idea that Universal Design (UD) must be seen as adaptable (p. 87). In other words,  communicative norms underscore markers of privilege and must be recognized as fluid rather  than fixed, especially when considering practices in communication classrooms and CWCs.  </w:t>
      </w:r>
    </w:p>
    <w:p w:rsidR="00000000" w:rsidDel="00000000" w:rsidP="00000000" w:rsidRDefault="00000000" w:rsidRPr="00000000" w14:paraId="0000001C">
      <w:pPr>
        <w:widowControl w:val="0"/>
        <w:spacing w:before="0" w:line="276" w:lineRule="auto"/>
        <w:ind w:left="0.240020751953125" w:right="76.12060546875" w:firstLine="725.780029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Extending this critique, it is imperative to recognize that CWCs are uniquely situated to  either reinforce or disrupt these norms. The very markers of “good communication,” that are  often present in CWC and communication course rubrics—steady vocalics and upright posture— are rooted in cultural assumptions that equate performance with ability. Such measures risk  overlooking rhetorical effectiveness and how those emerge through different means: outline  creation, annotated visual cues, or slideshow creation. Through privileging one mode of delivery  over another, CWCs continue to risk perpetuating the “myth of normalcy” that Dolmage, Price,  and Yergeau critique in their scholarship. Thus, a reimagining is integral to help CWCs move  beyond a tolerance of difference.</w:t>
      </w:r>
    </w:p>
    <w:p w:rsidR="00000000" w:rsidDel="00000000" w:rsidP="00000000" w:rsidRDefault="00000000" w:rsidRPr="00000000" w14:paraId="0000001D">
      <w:pPr>
        <w:widowControl w:val="0"/>
        <w:spacing w:before="0" w:line="276" w:lineRule="auto"/>
        <w:ind w:left="0.240020751953125" w:right="76.12060546875" w:firstLine="725.780029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widowControl w:val="0"/>
        <w:spacing w:before="0" w:line="276" w:lineRule="auto"/>
        <w:ind w:left="5.279998779296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Embodiment and Performativity  </w:t>
      </w:r>
    </w:p>
    <w:p w:rsidR="00000000" w:rsidDel="00000000" w:rsidP="00000000" w:rsidRDefault="00000000" w:rsidRPr="00000000" w14:paraId="0000001F">
      <w:pPr>
        <w:widowControl w:val="0"/>
        <w:spacing w:before="0" w:line="276" w:lineRule="auto"/>
        <w:ind w:left="5.279998779296875" w:firstLine="714.72000122070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Embodiment and performativity highlight how rhetoric is consistently enacted through the body  and shaped by the expectations placed upon it. Yergeau (2013) critiques the explication that  people with autism are “mindblind,” which excludes them from humanity itself (para. 15). This assumption that those with autism are “mindblind” creates the notion that these individuals lack  the “quintessential abilities that make us human” (para. 15). Yergeau (2013) reminds us that “the  body...brings visibility and materiality to the abstractions of theory” (para. 20). When autistic  communication is viewed as </w:t>
      </w:r>
      <w:r w:rsidDel="00000000" w:rsidR="00000000" w:rsidRPr="00000000">
        <w:rPr>
          <w:rFonts w:ascii="Times New Roman" w:cs="Times New Roman" w:eastAsia="Times New Roman" w:hAnsi="Times New Roman"/>
          <w:i w:val="1"/>
          <w:iCs w:val="1"/>
          <w:sz w:val="24"/>
          <w:szCs w:val="24"/>
          <w:rtl w:val="0"/>
        </w:rPr>
        <w:t xml:space="preserve">deficit </w:t>
      </w:r>
      <w:r w:rsidDel="00000000" w:rsidR="00000000" w:rsidRPr="00000000">
        <w:rPr>
          <w:rFonts w:ascii="Times New Roman" w:cs="Times New Roman" w:eastAsia="Times New Roman" w:hAnsi="Times New Roman"/>
          <w:sz w:val="24"/>
          <w:szCs w:val="24"/>
          <w:rtl w:val="0"/>
        </w:rPr>
        <w:t xml:space="preserve">or </w:t>
      </w:r>
      <w:r w:rsidDel="00000000" w:rsidR="00000000" w:rsidRPr="00000000">
        <w:rPr>
          <w:rFonts w:ascii="Times New Roman" w:cs="Times New Roman" w:eastAsia="Times New Roman" w:hAnsi="Times New Roman"/>
          <w:i w:val="1"/>
          <w:iCs w:val="1"/>
          <w:sz w:val="24"/>
          <w:szCs w:val="24"/>
          <w:rtl w:val="0"/>
        </w:rPr>
        <w:t xml:space="preserve">inhuman</w:t>
      </w:r>
      <w:r w:rsidDel="00000000" w:rsidR="00000000" w:rsidRPr="00000000">
        <w:rPr>
          <w:rFonts w:ascii="Times New Roman" w:cs="Times New Roman" w:eastAsia="Times New Roman" w:hAnsi="Times New Roman"/>
          <w:sz w:val="24"/>
          <w:szCs w:val="24"/>
          <w:rtl w:val="0"/>
        </w:rPr>
        <w:t xml:space="preserve">, access then becomes a site of dehumanization.  In a similar way, Price (2011) underscores the exclusionary relationship of “kairotic spaces,”  decisive classroom interactions where implicit social cues indicate participation. Price (2011)  suggests that redesigning those moments by offering explicit expectations and creating  nonphysical avenues for engagement, instead, honors students’ communicative differences. In  CWC contexts, Hitt (2012) urges against treating students with disabilities as radically different  than their counterparts, as it creates a narrative that these students are “beyond help” (para. 6).  Such framings not only </w:t>
      </w:r>
      <w:r w:rsidDel="00000000" w:rsidR="00000000" w:rsidRPr="00000000">
        <w:rPr>
          <w:rFonts w:ascii="Times New Roman" w:cs="Times New Roman" w:eastAsia="Times New Roman" w:hAnsi="Times New Roman"/>
          <w:i w:val="1"/>
          <w:iCs w:val="1"/>
          <w:sz w:val="24"/>
          <w:szCs w:val="24"/>
          <w:rtl w:val="0"/>
        </w:rPr>
        <w:t xml:space="preserve">other </w:t>
      </w:r>
      <w:r w:rsidDel="00000000" w:rsidR="00000000" w:rsidRPr="00000000">
        <w:rPr>
          <w:rFonts w:ascii="Times New Roman" w:cs="Times New Roman" w:eastAsia="Times New Roman" w:hAnsi="Times New Roman"/>
          <w:sz w:val="24"/>
          <w:szCs w:val="24"/>
          <w:rtl w:val="0"/>
        </w:rPr>
        <w:t xml:space="preserve">students but also hide the fact that all learners benefit from  multimodal and flexible approaches. By centering embodiment and performativity, CWCs can  push back against exclusionary logics and affirm a broad range of communicative practices.  </w:t>
      </w:r>
    </w:p>
    <w:p w:rsidR="00000000" w:rsidDel="00000000" w:rsidP="00000000" w:rsidRDefault="00000000" w:rsidRPr="00000000" w14:paraId="00000020">
      <w:pPr>
        <w:widowControl w:val="0"/>
        <w:spacing w:before="0" w:line="276" w:lineRule="auto"/>
        <w:ind w:left="8.639984130859375" w:right="231.62353515625" w:firstLine="715.46005249023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worked with disabled clients whose modes of embodiment invite us to adjust  our consultation styles and reconsider how we define effective communication. For instance, I  (Guajardo) have worked with a client who disclosed their hearing loss to me. They mentioned  often relying on lip reading and visual cues to follow along with the conversation. Recognizing this, I adjusted my consultation style by maintaining eye contact and orienting my body toward  them, so my facial expressions were clearly visible. In other sessions, we (Guajardo and Radtke)  have worked with clients who disclosed that sensory stimulation helps them focus. In our Center,  we keep a small collection of fidget toys on hand, and we often invite clients to use them. Clients are hesitant to grab one at first, but we find that taking one first helps to welcome sensory engagement. In doing so, we learn that effective communication is less about enforcing one  correct style and more about remaining responsive to the embodied needs of the clients.  </w:t>
      </w:r>
    </w:p>
    <w:p w:rsidR="00000000" w:rsidDel="00000000" w:rsidP="00000000" w:rsidRDefault="00000000" w:rsidRPr="00000000" w14:paraId="00000021">
      <w:pPr>
        <w:widowControl w:val="0"/>
        <w:spacing w:before="0" w:line="276" w:lineRule="auto"/>
        <w:ind w:left="1.920013427734375" w:right="17.48046875" w:firstLine="721.2200927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to center embodiment and performativity is not only to critique exclusion, but to  reimagine the body as a site of rhetorical possibility. As Yergeau (2013) states, “the body brings  visibility and materiality to the abstractions of theory” (para. 20), meaning CWC pedagogy  should embrace the body as one of meaning-making. In this sense, CWC pedagogy should  account for how bodies enact rhetoric differently (e.g., silence, gesture, affect, or assistive  technology). Price’s (2011) call to reshape kairotic spaces by naming implicit norms and opening  nonphysical modes of participation creates a practical avenue forward: to demystify unspoken  expectations CWCs may have of clients.  </w:t>
      </w:r>
    </w:p>
    <w:p w:rsidR="00000000" w:rsidDel="00000000" w:rsidP="00000000" w:rsidRDefault="00000000" w:rsidRPr="00000000" w14:paraId="00000022">
      <w:pPr>
        <w:widowControl w:val="0"/>
        <w:spacing w:before="0" w:line="276" w:lineRule="auto"/>
        <w:ind w:left="1.920013427734375" w:right="17.48046875" w:firstLine="721.220092773437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spacing w:before="0" w:line="276" w:lineRule="auto"/>
        <w:ind w:left="6.000061035156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UDL as Justice-Oriented  </w:t>
      </w:r>
    </w:p>
    <w:p w:rsidR="00000000" w:rsidDel="00000000" w:rsidP="00000000" w:rsidRDefault="00000000" w:rsidRPr="00000000" w14:paraId="00000024">
      <w:pPr>
        <w:widowControl w:val="0"/>
        <w:spacing w:before="0" w:line="276" w:lineRule="auto"/>
        <w:ind w:left="6.00006103515625" w:firstLine="713.99993896484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UDL extends the critiques into a pedagogical model that resists uniformity. Dolmage (2017)  describes UDL as “advocating the use of multiple and flexible strategies to address the needs of  all students” (p. 124). The framework calls for a multiplicity of representations and ways to give  learners varied ways of expression (p. 145). Dolmage continues to warn that UDL is often  reduced to a list or appropriated as a neoliberal tool for marketing, and risks abandoning its  commitment to equity (p. 140). Yet, emphasizes the reciprocal need between UDL and usability. The argument that UDL can be turned into a neoliberal tool is then saved by accounting for user centered feedback. Dolmage states that without iterative feedback, UDL risks abstraction,  recounting how students “insist that teachers had to allow... multiple modes of anonymous  course critique” for needs to be addressed (pp. 131-132). This insight shapes the importance of  building feedback into consultations; therefore, allowing clients to co-construct pedagogical  practices. </w:t>
      </w:r>
    </w:p>
    <w:p w:rsidR="00000000" w:rsidDel="00000000" w:rsidP="00000000" w:rsidRDefault="00000000" w:rsidRPr="00000000" w14:paraId="00000025">
      <w:pPr>
        <w:widowControl w:val="0"/>
        <w:spacing w:line="276" w:lineRule="auto"/>
        <w:ind w:right="35.960693359375" w:firstLine="726.9801330566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we have worked with clients who learn best by doing rather than listening.  Students who prefer that we walk them through the process step by step instead of lecturing  about technique. For them, embodiment is referenced in a literal sense. Similarly, we have  collaborated with multilingual students who explicitly ask for clarity over comfort, as they prefer  direct, unembellished feedback rather than comfort-oriented critique. With these students, we often pause and directly ask them, “Does this make sense?” or “Would you prefer I model an  example for you?” Their responses shape the direction of our collaboration. These encounters  remind us that accessibility must be rhetorically attuned to the communicative preferences each  client brings to the session. Another way we often adjust sessions with clients is when we form a  potential outline or revision plan aloud. Or when the client is looking overwhelmed/scrambling  to take notes, we respond to this feedback by offering to write out the content on one of the pads  of paper we keep around our tables. If the student agrees, we take over the note-taking, so the  client has a more complete, take-home version of their conversation to use as a checklist for their  continuing process. Additionally, if the session was done online, we may send a follow-up email  to the client with a summary, next steps, and resources discussed.  </w:t>
      </w:r>
    </w:p>
    <w:p w:rsidR="00000000" w:rsidDel="00000000" w:rsidP="00000000" w:rsidRDefault="00000000" w:rsidRPr="00000000" w14:paraId="00000026">
      <w:pPr>
        <w:widowControl w:val="0"/>
        <w:spacing w:line="276" w:lineRule="auto"/>
        <w:ind w:right="35.960693359375" w:firstLine="726.9801330566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(2011) frames UD as a process of ongoing revision, urging instructors to focus on  feasibility while acknowledging that accessibility is never complete (p. 89). Price recommends  that instructors include the following in their teaching style: naming participation norms,  alternatives to physical embodiment, and providing “safe houses” for engagement (pp. 92-100).  These recommendations align with Dolmage’s (2017) insistence that UDL is not simply a static  solution but is seen instead as socially-just acclimatization. Justice in this instance is material, as  it emerges when a client who struggles to articulate ideas is validated by sketching out a visual  description, when a neurodivergent client is invited to use asynchronous reflections as part of </w:t>
      </w:r>
    </w:p>
    <w:p w:rsidR="00000000" w:rsidDel="00000000" w:rsidP="00000000" w:rsidRDefault="00000000" w:rsidRPr="00000000" w14:paraId="00000027">
      <w:pPr>
        <w:widowControl w:val="0"/>
        <w:spacing w:line="276" w:lineRule="auto"/>
        <w:ind w:left="1.920013427734375" w:right="207.3828125" w:firstLine="0.96008300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session, or when multilingual clients are encouraged to draw on their linguistic repertoires  rather than forced to adhere to English standards. Thus, these practices expand upon UDL as a  reimagining of what counts as communication within institutional spaces. Through this, CWCs can embody Dolmage’s call for a plan of “hybridity and transformation,” rather than panic over  difference (p. 131).  </w:t>
      </w:r>
    </w:p>
    <w:p w:rsidR="00000000" w:rsidDel="00000000" w:rsidP="00000000" w:rsidRDefault="00000000" w:rsidRPr="00000000" w14:paraId="00000028">
      <w:pPr>
        <w:widowControl w:val="0"/>
        <w:spacing w:before="0" w:line="276" w:lineRule="auto"/>
        <w:ind w:left="5.279998779296875"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widowControl w:val="0"/>
        <w:spacing w:before="0" w:line="276" w:lineRule="auto"/>
        <w:ind w:left="5.27999877929687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Multiliteracies and Multimodalities </w:t>
      </w:r>
    </w:p>
    <w:p w:rsidR="00000000" w:rsidDel="00000000" w:rsidP="00000000" w:rsidRDefault="00000000" w:rsidRPr="00000000" w14:paraId="0000002A">
      <w:pPr>
        <w:widowControl w:val="0"/>
        <w:spacing w:before="0" w:line="276" w:lineRule="auto"/>
        <w:ind w:left="5.279998779296875" w:firstLine="714.720001220703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Multiliteracy models reinforce UDL by underscoring how communication occurs across sensory,  technological, and intercultural modalities. Michael and Trezek (2006) highlight the need to  account for “all students’ needs” throughout “curriculum development” (pp. 312-313). They  continue to emphasize the three qualities of UDL—engagement, representation, and action and  expression—reinforcing the belief that these are not to be simply viewed as accommodations but  as strategies to level the academic field (p. 313). Michael and Trezek’s work showcases how  these practices can be both technological and nontechnological: moving between graphics to  spoken word and reciprocal dialogue to experiential learning (pp. 314-315). Hitt (2012)  continues to extend multiliteracy into writing center praxis, emphasizing how physical spaces can disable through the privileging of able bodies. By starting with accommodative interventions—such as mobile furniture or multimodal session designs—centers can then start to expand accessibility. Hitt emphasizes that pedagogy cannot be separated from space nor  embodiment: “Even if a center is physically accessible, students cannot benefit from inaccessible  pedagogy” (para. 13). Through expanding upon multiliteracy to include visual, embodied,  auditory, and tactile modes, CWCs can affirm a wider range of literacies.  </w:t>
      </w:r>
    </w:p>
    <w:p w:rsidR="00000000" w:rsidDel="00000000" w:rsidP="00000000" w:rsidRDefault="00000000" w:rsidRPr="00000000" w14:paraId="0000002B">
      <w:pPr>
        <w:widowControl w:val="0"/>
        <w:spacing w:before="0" w:line="276" w:lineRule="auto"/>
        <w:ind w:left="12.239990234375" w:right="470.360107421875" w:firstLine="710.66009521484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consultants, we have worked through a multitude of multiliteracy and multimodal  strategies. We have worked with clients working on speeches who struggle to organize their </w:t>
      </w:r>
    </w:p>
    <w:p w:rsidR="00000000" w:rsidDel="00000000" w:rsidP="00000000" w:rsidRDefault="00000000" w:rsidRPr="00000000" w14:paraId="0000002C">
      <w:pPr>
        <w:widowControl w:val="0"/>
        <w:spacing w:line="276" w:lineRule="auto"/>
        <w:ind w:left="1.920013427734375" w:right="17.48046875" w:firstLine="5.5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through a traditional outline format. Rather than working together on a sheet of paper or on  a shared document, we found that sketching main points using boxes and arrows on a whiteboard  helps them visualize the trajectory of their speeches. In other sessions, when clients are working  on their public speaking skills, they have alternated between English and their native language  while articulating their ideas. To understand the client, we have often asked about certain phrases  and invited them to explain how words or expressions carried different nuances in each  language. Additionally, we have also examined their nonverbal delivery (e.g., pacing, gestures,  and tone) to help clarify meaning.  </w:t>
      </w:r>
    </w:p>
    <w:p w:rsidR="00000000" w:rsidDel="00000000" w:rsidP="00000000" w:rsidRDefault="00000000" w:rsidRPr="00000000" w14:paraId="0000002D">
      <w:pPr>
        <w:widowControl w:val="0"/>
        <w:spacing w:before="0" w:line="276" w:lineRule="auto"/>
        <w:ind w:left="1.920013427734375" w:right="14.7216796875" w:firstLine="720.98007202148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multiliteracies orientation is not simply vital as a way to enhance access, but also to  reframe what counts as rhetorical success. Too often, CWCs default to supporting clients in ways  that uphold academic norms (e.g., linear outlines and essay formats). Yet, the reality of  communication in contemporary contexts—civic, digital, or professional—is multimodal.  Through training consultants to better see the value in clients drafting with images or composing  non-linear ways of thinking, CWCs can then prep students for rhetorical situations outside of the  academy. In addition, multimodality demands that we resist equating efficiency to equity, as the  most conventional path is not always the most inclusive.  </w:t>
      </w:r>
    </w:p>
    <w:p w:rsidR="00000000" w:rsidDel="00000000" w:rsidP="00000000" w:rsidRDefault="00000000" w:rsidRPr="00000000" w14:paraId="0000002E">
      <w:pPr>
        <w:widowControl w:val="0"/>
        <w:spacing w:before="210.26611328125" w:line="276" w:lineRule="auto"/>
        <w:ind w:left="5.7600402832031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Flexible Agency in CWCs  </w:t>
      </w:r>
    </w:p>
    <w:p w:rsidR="00000000" w:rsidDel="00000000" w:rsidP="00000000" w:rsidRDefault="00000000" w:rsidRPr="00000000" w14:paraId="0000002F">
      <w:pPr>
        <w:widowControl w:val="0"/>
        <w:spacing w:before="0" w:line="276" w:lineRule="auto"/>
        <w:ind w:left="0" w:right="192.26440429687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combination of embodiment, performativity, and multiliteracy can provide the theoretical  foundation for advancing UDL in CWCs. Embodiment exposes that able-bodied assumptions  corroborate communicative norms. Performativity, in a similar fashion, acknowledges the ways  students are compelled to enact these norms in order to be recognized as competent.  Multiliteracy, meanwhile, demonstrates how meaning-making should always be seen as multimodal, extending beyond speech and print. UDL summarizes these insights into a  framework that creates flexibility, iterative design, and client agency.  </w:t>
      </w:r>
    </w:p>
    <w:p w:rsidR="00000000" w:rsidDel="00000000" w:rsidP="00000000" w:rsidRDefault="00000000" w:rsidRPr="00000000" w14:paraId="00000030">
      <w:pPr>
        <w:widowControl w:val="0"/>
        <w:spacing w:before="0" w:line="276" w:lineRule="auto"/>
        <w:ind w:left="0" w:right="192.26440429687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Dolmage (2017) reminds us, UDL is “finally a matter of social justice” (p. 132).  Rather than merely being a pedagogical rubric, it functions as an ethical orientation that  challenges CWCs to value inclusive, communicative futures. Through the resistance of  retroactive practices, and instead, designing a praxis of disabled representation, CWCs can  affirm difference as constitutive of rhetoric itself. In this way, UDL equips CWCs to become  sites where access is the foundation of pedagogical praxis.  </w:t>
      </w:r>
    </w:p>
    <w:p w:rsidR="00000000" w:rsidDel="00000000" w:rsidP="00000000" w:rsidRDefault="00000000" w:rsidRPr="00000000" w14:paraId="00000031">
      <w:pPr>
        <w:widowControl w:val="0"/>
        <w:spacing w:before="0" w:line="276" w:lineRule="auto"/>
        <w:ind w:left="0" w:right="192.264404296875"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before="0" w:line="276" w:lineRule="auto"/>
        <w:ind w:left="0" w:right="192.264404296875"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before="209.9371337890625"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UDL Tips and Tools </w:t>
      </w:r>
    </w:p>
    <w:p w:rsidR="00000000" w:rsidDel="00000000" w:rsidP="00000000" w:rsidRDefault="00000000" w:rsidRPr="00000000" w14:paraId="00000034">
      <w:pPr>
        <w:widowControl w:val="0"/>
        <w:spacing w:before="274.9200439453125" w:line="276" w:lineRule="auto"/>
        <w:ind w:left="6.48010253906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Physical and Digital Space </w:t>
      </w:r>
    </w:p>
    <w:p w:rsidR="00000000" w:rsidDel="00000000" w:rsidP="00000000" w:rsidRDefault="00000000" w:rsidRPr="00000000" w14:paraId="00000035">
      <w:pPr>
        <w:widowControl w:val="0"/>
        <w:spacing w:before="0" w:line="276" w:lineRule="auto"/>
        <w:ind w:left="0" w:right="48.76098632812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Dolmage’s (2017) critiques of space retrofits are forever relevant and valid, some  awareness of a CWC’s spatial barriers is nonetheless helpful in any attempt to prevent access  fatigue. While CWCs, as academic units, are rarely granted the ground-up control of their  physical and digital spaces implied by UD, as evidenced by Steven Garfunkel’s 2020 Excellence  in the Center discussion of the Americans with Disabilities Act (ADA) in this journal, it is still  important to collaborate with our institutions’ physical access committees/disability services to  investigate accessibility improvements that can be made—and the possibilities for funding such  things. After eight years of advocating, for example, our CWC secured an ADA fund grant from  our institution to install battery-operated door buttons to make our heavy entrance easier to open.  Knowing which UD/ADA retrofits and improvements apply to a given Center space can be  daunting, but Sheryl Burgstahler’s (2018) “Universal Design of Tutoring and Learning Centers”  checklist offers a solid place to start, reminding us to keep clear pathways, wheelchair accessible  sign-in desks, specialized computer programs to magnify text, and braille copies of Center </w:t>
      </w:r>
    </w:p>
    <w:p w:rsidR="00000000" w:rsidDel="00000000" w:rsidP="00000000" w:rsidRDefault="00000000" w:rsidRPr="00000000" w14:paraId="00000036">
      <w:pPr>
        <w:widowControl w:val="0"/>
        <w:spacing w:line="276" w:lineRule="auto"/>
        <w:ind w:left="0.240020751953125" w:right="39.039306640625" w:firstLine="1.679992675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 While these physical environment elements and technology might forever be on a  “Nice to Have” list that is advocated for for years, the checklist is a good first step in considering  barriers that might exist for a client entering a CWC and gives us some idea on how we might  remove or lessen them. </w:t>
      </w:r>
    </w:p>
    <w:p w:rsidR="00000000" w:rsidDel="00000000" w:rsidP="00000000" w:rsidRDefault="00000000" w:rsidRPr="00000000" w14:paraId="00000037">
      <w:pPr>
        <w:widowControl w:val="0"/>
        <w:spacing w:before="0" w:line="276" w:lineRule="auto"/>
        <w:ind w:firstLine="724.8200988769531"/>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From a UDL perspective, </w:t>
      </w:r>
      <w:r w:rsidDel="00000000" w:rsidR="00000000" w:rsidRPr="00000000">
        <w:rPr>
          <w:rFonts w:ascii="Times New Roman" w:cs="Times New Roman" w:eastAsia="Times New Roman" w:hAnsi="Times New Roman"/>
          <w:i w:val="1"/>
          <w:iCs w:val="1"/>
          <w:sz w:val="24"/>
          <w:szCs w:val="24"/>
          <w:rtl w:val="0"/>
        </w:rPr>
        <w:t xml:space="preserve">having </w:t>
      </w:r>
      <w:r w:rsidDel="00000000" w:rsidR="00000000" w:rsidRPr="00000000">
        <w:rPr>
          <w:rFonts w:ascii="Times New Roman" w:cs="Times New Roman" w:eastAsia="Times New Roman" w:hAnsi="Times New Roman"/>
          <w:sz w:val="24"/>
          <w:szCs w:val="24"/>
          <w:rtl w:val="0"/>
        </w:rPr>
        <w:t xml:space="preserve">an electronic means of accessing a CWC is an example  of multimodal communication and support. However, UDL also calls for technology to be  explicitly modelled for learners before it is used and UD-conscious software is designed with  visual contrast, image description, accessible file types (</w:t>
      </w:r>
      <w:r w:rsidDel="00000000" w:rsidR="00000000" w:rsidRPr="00000000">
        <w:rPr>
          <w:rFonts w:ascii="Times New Roman" w:cs="Times New Roman" w:eastAsia="Times New Roman" w:hAnsi="Times New Roman"/>
          <w:i w:val="1"/>
          <w:iCs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scans of book pages that screen  reading technology cannot interpret), timing, and a load of other ease of use features in mind  (Jewett, 2022; Microassist, 2023). As CWCs are working with established products, we do not  have the same level of control we have over our physical spaces. As such, the best options may  be patience and a willingness to use more accessible methods, like Google phone—for consultant  privacy—and email, for when the digital platforms prove difficult for a client to use. </w:t>
      </w:r>
      <w:r w:rsidDel="00000000" w:rsidR="00000000" w:rsidRPr="00000000">
        <w:rPr>
          <w:rFonts w:ascii="Times New Roman" w:cs="Times New Roman" w:eastAsia="Times New Roman" w:hAnsi="Times New Roman"/>
          <w:b w:val="1"/>
          <w:bCs w:val="1"/>
          <w:sz w:val="24"/>
          <w:szCs w:val="24"/>
          <w:rtl w:val="0"/>
        </w:rPr>
        <w:t xml:space="preserve">Pedagogy </w:t>
      </w:r>
    </w:p>
    <w:p w:rsidR="00000000" w:rsidDel="00000000" w:rsidP="00000000" w:rsidRDefault="00000000" w:rsidRPr="00000000" w14:paraId="00000038">
      <w:pPr>
        <w:widowControl w:val="0"/>
        <w:spacing w:before="50.196533203125" w:line="276" w:lineRule="auto"/>
        <w:ind w:left="1.920013427734375" w:right="0.679931640625" w:firstLine="0.48004150390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Lang (2017a) points out, one common access challenge can emerge in how communication  and writing center training guides often direct consultants to use non-directive language: like  asking a client “Where do you think a pause should go?” instead of saying something more direct  like “This is just a suggestion, but you should have a slight pause between topics.” While the  non-directive approach implicitly honors a client’s ownership of their work, many clients (such  as those with autism and ADHD) may struggle without explicit prompting, so this slight change  of phrasing may help clients better recognize where an issue is occurring in a project and that  they have options on how to address it. Clients may not be able to take notes in a session;  consultants offering to take notes for the client in session can aid in session access, as can </w:t>
      </w:r>
    </w:p>
    <w:p w:rsidR="00000000" w:rsidDel="00000000" w:rsidP="00000000" w:rsidRDefault="00000000" w:rsidRPr="00000000" w14:paraId="00000039">
      <w:pPr>
        <w:widowControl w:val="0"/>
        <w:spacing w:line="276" w:lineRule="auto"/>
        <w:ind w:right="71.54296875" w:firstLine="9.120025634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allowing the session to be recorded on a phone for client review (Lang, 2017a; Ryan et al., 2017,  p. 273-274)  </w:t>
      </w:r>
    </w:p>
    <w:p w:rsidR="00000000" w:rsidDel="00000000" w:rsidP="00000000" w:rsidRDefault="00000000" w:rsidRPr="00000000" w14:paraId="0000003A">
      <w:pPr>
        <w:widowControl w:val="0"/>
        <w:spacing w:before="57.169189453125" w:line="276" w:lineRule="auto"/>
        <w:ind w:left="0.720062255859375" w:right="62.161865234375" w:firstLine="722.18002319335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issue might be that clients are overwhelmed by how sources and notes appear on  a screen—an access issue in terms of perception and interaction—and we can introduce them to  (or remind them of) tools like Immersive Reader (which changes the spacing, background, and  font of documents and text heavy webpages in Microsoft Online and the Edge browser)  (Microsoft Education, 2019). While this tool does not work on every web page, or with every  client, both Windows and Apple operating systems have accessibility features that may prove  useful in altering the way text appears for editing, while not making permanent changes to the  final document (Microsoft, 2025; Apple, 2025)</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the heart of what we do—asking careful  questions—can highlight the rhetorical choices a client has within an assignment (even when it  does not allow for videos and other options) and help draw out ways to connect a client’s  identities and interests to the work they are doing (CAST, 2024). </w:t>
      </w:r>
    </w:p>
    <w:p w:rsidR="00000000" w:rsidDel="00000000" w:rsidP="00000000" w:rsidRDefault="00000000" w:rsidRPr="00000000" w14:paraId="0000003B">
      <w:pPr>
        <w:widowControl w:val="0"/>
        <w:spacing w:before="0" w:line="276" w:lineRule="auto"/>
        <w:ind w:left="0.240020751953125" w:right="3.759765625" w:firstLine="723.8600158691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UDL category of support reflects what CWCs fundamentally do, it is important  to remember that UDL’s vision of the term stresses proactively designing things like clear goals,  defined steps, and classroom community, as well as enabling multiple ways to communicate and  demonstrate learning (videos, interviews, etc.). Since CWCs are not the designers of  assignments, our options are limited; largely, we are the support. However, we can offer “action oriented feedback” when we—collaboratively— help clients create draft or revision plans and  break down overwhelming goals (CAST, 2024). We can help create more approachable timelines  at the ends of sessions either with our own estimations or with the help of tools like Goblin  Tool’s MagicToDo, which uses AI to help break down a task, the chili peppers allowing a user to choose how difficult the task feels (meaning the steps are smaller the more chilis chosen). </w:t>
      </w:r>
    </w:p>
    <w:p w:rsidR="00000000" w:rsidDel="00000000" w:rsidP="00000000" w:rsidRDefault="00000000" w:rsidRPr="00000000" w14:paraId="0000003C">
      <w:pPr>
        <w:widowControl w:val="0"/>
        <w:spacing w:line="276" w:lineRule="auto"/>
        <w:ind w:right="16.083984375" w:firstLine="726.9801330566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representation’s support pillars for vocabulary and symbols, CWC consultants  can help clarify the meaning of terms within assignments, or guide clients in how they might ask  a more appropriate source for clarification (e.g., helping draft emails to instructors). We can also  offer students new ways to revise their projects—even if the final version is a “traditional” front of-the-room speech. Such suggestions can include that both client and consultant “exaggerate  expressions and bodily movements,” standing if able, when discussing a topic or practicing a  speech to potentially get at a client’s “true” feeling about a topic, having a client draw a speech  (or build it with blocks or dough), or using sticky notes and walls (space permitting) to  physically move pieces of the outline (CAST, 2024; Ryan et al., 2017, pp. 273-275).  Incorporating more movement into a typically more subdued process is one way to support  expression and communication, as is trying to offer multiple ways to offer sessions—both in person and online. While many of the strategies suggested are difficult to implement digitally,  alternative access to services allows clients a choice of how to communicate in a very UDL way. </w:t>
      </w:r>
    </w:p>
    <w:p w:rsidR="00000000" w:rsidDel="00000000" w:rsidP="00000000" w:rsidRDefault="00000000" w:rsidRPr="00000000" w14:paraId="0000003D">
      <w:pPr>
        <w:widowControl w:val="0"/>
        <w:spacing w:line="276" w:lineRule="auto"/>
        <w:ind w:right="16.083984375" w:firstLine="726.9801330566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executive function in CWCs includes helping clients develop strategies for  common communication and writing challenges—like determining that a project has all of the  needed components and that they flow well together. In such a case, it might be time to pull out  the assignment sheet and make a list, color-coding elements in notes or outlines to see where  they appear. Or a consultant might ask a client to explain a topic without looking at notes or  draw out their points without words (CAST, 2024; Ryan et al., 2017, pp. 273-275). Executive  functioning support can also include using our knowledge as consultants to help clients connect  their prior knowledge to their current work (though this can be tricky when we are helping  someone from a different focus, level, or major than ourselves) and acknowledging that some  assignments are emotionally difficult. We can support a client’s emotional capacity by offering </w:t>
      </w:r>
    </w:p>
    <w:p w:rsidR="00000000" w:rsidDel="00000000" w:rsidP="00000000" w:rsidRDefault="00000000" w:rsidRPr="00000000" w14:paraId="0000003E">
      <w:pPr>
        <w:widowControl w:val="0"/>
        <w:spacing w:line="276" w:lineRule="auto"/>
        <w:ind w:left="1.920013427734375" w:right="724.4805908203125" w:hanging="1.6799926757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breathing exercises to help clients manage anxiety, as well as celebrating the progress and  reflecting on the growth of recurring clients (CAST, 2024).  </w:t>
      </w:r>
    </w:p>
    <w:p w:rsidR="00000000" w:rsidDel="00000000" w:rsidP="00000000" w:rsidRDefault="00000000" w:rsidRPr="00000000" w14:paraId="0000003F">
      <w:pPr>
        <w:widowControl w:val="0"/>
        <w:spacing w:line="276" w:lineRule="auto"/>
        <w:ind w:left="0" w:right="724.480590820312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of course, the strategies noted above are just some of the ones that a consultant might use to support a client. And they might feel like things our CWCs are already doing in  sessions—particularly with clients who disclose a specific challenge or preference. UDL is  applicable to all clients (which is why it can feel frustratingly vague); for consultants, hopefully,  UDL’s framework can empower us to be more flexible in sessions, addressing needs as they  appear. If none of the strategies offered in this article and its sources seem to fit your CWC, think about the challenges that are common within your client population as a staff or small group.  Grab a UDL guidelines chart and talk through how you might best address a challenge or  embody a pillar within your space. By thinking through how you might direct sessions </w:t>
      </w:r>
      <w:r w:rsidDel="00000000" w:rsidR="00000000" w:rsidRPr="00000000">
        <w:rPr>
          <w:rFonts w:ascii="Times New Roman" w:cs="Times New Roman" w:eastAsia="Times New Roman" w:hAnsi="Times New Roman"/>
          <w:i w:val="1"/>
          <w:iCs w:val="1"/>
          <w:sz w:val="24"/>
          <w:szCs w:val="24"/>
          <w:rtl w:val="0"/>
        </w:rPr>
        <w:t xml:space="preserve">before  </w:t>
      </w:r>
      <w:r w:rsidDel="00000000" w:rsidR="00000000" w:rsidRPr="00000000">
        <w:rPr>
          <w:rFonts w:ascii="Times New Roman" w:cs="Times New Roman" w:eastAsia="Times New Roman" w:hAnsi="Times New Roman"/>
          <w:sz w:val="24"/>
          <w:szCs w:val="24"/>
          <w:rtl w:val="0"/>
        </w:rPr>
        <w:t xml:space="preserve">they start, you are employing the pro-social, inclusive design of UDL. If, however, you are  struggling—like we sometimes do— to think past the educator lens of the guidelines themselves,  it may be helpful to prompt an AI for how a tutor or consultant might apply the guidelines with  clients, which is very much in line with CAST’s (2025) view of AI as assistive technology. In  our experiments, we have found it most helpful to prompt specifically for each of the nine  guidelines by the official names on the chart, so that the AI is less summative and more focused.  ChatGPT is, of course, a ubiquitous model for this, though there is an AI tool by Poe called  Ludia that is built to help educators find ways to meet design and task challenges with UDL. Of  course, Centers and consultants have valid resistances to using AI, and there is nuance to the use  of AI as an access aid versus a shortcut. We do not, for example, necessarily see AI-heavy  grammar and paraphrasing tools like Grammarly and Ginger as appropriate UDL supports for  writing and communication projects, while some UDL resources do—like those from Marshall </w:t>
      </w:r>
    </w:p>
    <w:p w:rsidR="00000000" w:rsidDel="00000000" w:rsidP="00000000" w:rsidRDefault="00000000" w:rsidRPr="00000000" w14:paraId="00000040">
      <w:pPr>
        <w:widowControl w:val="0"/>
        <w:spacing w:line="276" w:lineRule="auto"/>
        <w:ind w:left="2.880096435546875" w:right="154.439697265625" w:hanging="1.2001037597656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University’s UDL Community of Practice (2021). Ludia is a limited, UDL guidelines-only tool,  though, so it </w:t>
      </w:r>
      <w:r w:rsidDel="00000000" w:rsidR="00000000" w:rsidRPr="00000000">
        <w:rPr>
          <w:rFonts w:ascii="Times New Roman" w:cs="Times New Roman" w:eastAsia="Times New Roman" w:hAnsi="Times New Roman"/>
          <w:i w:val="1"/>
          <w:iCs w:val="1"/>
          <w:sz w:val="24"/>
          <w:szCs w:val="24"/>
          <w:rtl w:val="0"/>
        </w:rPr>
        <w:t xml:space="preserve">may </w:t>
      </w:r>
      <w:r w:rsidDel="00000000" w:rsidR="00000000" w:rsidRPr="00000000">
        <w:rPr>
          <w:rFonts w:ascii="Times New Roman" w:cs="Times New Roman" w:eastAsia="Times New Roman" w:hAnsi="Times New Roman"/>
          <w:sz w:val="24"/>
          <w:szCs w:val="24"/>
          <w:rtl w:val="0"/>
        </w:rPr>
        <w:t xml:space="preserve">prove more helpful for our session prep than other AI tools.  </w:t>
      </w:r>
    </w:p>
    <w:p w:rsidR="00000000" w:rsidDel="00000000" w:rsidP="00000000" w:rsidRDefault="00000000" w:rsidRPr="00000000" w14:paraId="00000041">
      <w:pPr>
        <w:widowControl w:val="0"/>
        <w:spacing w:line="276" w:lineRule="auto"/>
        <w:ind w:left="2.880096435546875" w:right="154.439697265625" w:hanging="1.2001037597656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widowControl w:val="0"/>
        <w:spacing w:before="0" w:line="276" w:lineRule="auto"/>
        <w:ind w:right="3803.0804443359375"/>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43">
      <w:pPr>
        <w:widowControl w:val="0"/>
        <w:spacing w:before="0" w:line="276" w:lineRule="auto"/>
        <w:ind w:right="81.641845703125" w:firstLine="722.18002319335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UDL is far from perfect, but against the accommodation-dominated educational culture,  it is a step in the right direction. At its best, UD/UDL is a framework and a prompt for ongoing  conversations and work around access, both in CWCs and the wider field of communication. Access is an ever-evolving aim, not something that can be completed and forgotten (Price, 2011,  p. 87). The hard truth remains that access will never be settled. It will remain contested and  negotiated. However, therein lies its power, which is to keep things accessible; an ongoing  dialogue must continue alongside them. While this can be an overwhelming prospect, those who  need access </w:t>
      </w:r>
      <w:r w:rsidDel="00000000" w:rsidR="00000000" w:rsidRPr="00000000">
        <w:rPr>
          <w:rFonts w:ascii="Times New Roman" w:cs="Times New Roman" w:eastAsia="Times New Roman" w:hAnsi="Times New Roman"/>
          <w:i w:val="1"/>
          <w:iCs w:val="1"/>
          <w:sz w:val="24"/>
          <w:szCs w:val="24"/>
          <w:rtl w:val="0"/>
        </w:rPr>
        <w:t xml:space="preserve">will </w:t>
      </w:r>
      <w:r w:rsidDel="00000000" w:rsidR="00000000" w:rsidRPr="00000000">
        <w:rPr>
          <w:rFonts w:ascii="Times New Roman" w:cs="Times New Roman" w:eastAsia="Times New Roman" w:hAnsi="Times New Roman"/>
          <w:sz w:val="24"/>
          <w:szCs w:val="24"/>
          <w:rtl w:val="0"/>
        </w:rPr>
        <w:t xml:space="preserve">notice when those needs are anticipated and are often quite aware of  limitations—though they might not always know how to articulate them or who can best address  these issues (Konrad, 2021). Forethought into the barriers we can reduce or eliminate helps our  clients save their rhetorical energy for collaboratively refining the work of our Centers. </w:t>
      </w:r>
    </w:p>
    <w:p w:rsidR="00000000" w:rsidDel="00000000" w:rsidP="00000000" w:rsidRDefault="00000000" w:rsidRPr="00000000" w14:paraId="00000044">
      <w:pPr>
        <w:widowControl w:val="0"/>
        <w:spacing w:before="0" w:line="276" w:lineRule="auto"/>
        <w:ind w:left="0" w:right="81.641845703125"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work in this area might include a follow-up client survey to offer an explicit venue  for feedback and better gauge the effectiveness of UDL practices within our Center(s). Additionally, scholars might examine how UDL intersects with other pedagogical frameworks  (e.g., feminist rhetorical praxis or decolonial pedagogy) to broaden what access can mean in  communication spaces. Longitudinal studies could also examine how consultants’ rhetorical  awareness evolves when trained in UDL-informed strategies, or how clients’ sense of agency and  belonging shifts over time. These directions remind us that access is iterative, and often shaped  by context and the embodied needs, identities, and relationships that add life to a Center. </w:t>
      </w:r>
    </w:p>
    <w:p w:rsidR="00000000" w:rsidDel="00000000" w:rsidP="00000000" w:rsidRDefault="00000000" w:rsidRPr="00000000" w14:paraId="00000045">
      <w:pPr>
        <w:widowControl w:val="0"/>
        <w:spacing w:line="276" w:lineRule="auto"/>
        <w:ind w:left="2.880096435546875" w:right="7.464599609375" w:firstLine="717.119903564453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to practice UDL within CWCs is to treat access as a rhetorical act:  deliberative, ethical, and always unfinished. Our work is to listen and reimagine how  communication might be made more accessible for all clients—with and without disabilities. In  this sense, UDL works to keep us accountable for everyone who enters our Centers. We believe  that CWCs can continue to model what equitable communication and writing standards look like,  one that shares a commitment to revision, responsiveness, and the cultivation of belonging. </w:t>
      </w:r>
    </w:p>
    <w:p w:rsidR="00000000" w:rsidDel="00000000" w:rsidP="00000000" w:rsidRDefault="00000000" w:rsidRPr="00000000" w14:paraId="00000046">
      <w:pPr>
        <w:widowControl w:val="0"/>
        <w:spacing w:line="240" w:lineRule="auto"/>
        <w:ind w:right="3761.9207763671875"/>
        <w:jc w:val="righ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right="3761.9207763671875"/>
        <w:jc w:val="righ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widowControl w:val="0"/>
        <w:spacing w:line="240" w:lineRule="auto"/>
        <w:ind w:right="3761.9207763671875"/>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49">
      <w:pPr>
        <w:keepLines w:val="1"/>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Apple. (2025). </w:t>
      </w:r>
      <w:r w:rsidDel="00000000" w:rsidR="00000000" w:rsidRPr="00000000">
        <w:rPr>
          <w:rFonts w:ascii="Times New Roman" w:cs="Times New Roman" w:eastAsia="Times New Roman" w:hAnsi="Times New Roman"/>
          <w:i w:val="1"/>
          <w:iCs w:val="1"/>
          <w:sz w:val="24"/>
          <w:szCs w:val="24"/>
          <w:rtl w:val="0"/>
        </w:rPr>
        <w:t xml:space="preserve">Accessibility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https://www.apple.com/accessibility/ </w:t>
      </w:r>
    </w:p>
    <w:p w:rsidR="00000000" w:rsidDel="00000000" w:rsidP="00000000" w:rsidRDefault="00000000" w:rsidRPr="00000000" w14:paraId="0000004A">
      <w:pPr>
        <w:keepLines w:val="1"/>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Browning, E. R., &amp; Cagle, L. E. (2017). Teaching a “critical accessibility case study”: Developing disability studies curricula for the technical communication classroom. </w:t>
      </w:r>
      <w:r w:rsidDel="00000000" w:rsidR="00000000" w:rsidRPr="00000000">
        <w:rPr>
          <w:rFonts w:ascii="Times New Roman" w:cs="Times New Roman" w:eastAsia="Times New Roman" w:hAnsi="Times New Roman"/>
          <w:i w:val="1"/>
          <w:iCs w:val="1"/>
          <w:sz w:val="24"/>
          <w:szCs w:val="24"/>
          <w:rtl w:val="0"/>
        </w:rPr>
        <w:t xml:space="preserve">Journal of Technical Writing and Communication, 47</w:t>
      </w:r>
      <w:r w:rsidDel="00000000" w:rsidR="00000000" w:rsidRPr="00000000">
        <w:rPr>
          <w:rFonts w:ascii="Times New Roman" w:cs="Times New Roman" w:eastAsia="Times New Roman" w:hAnsi="Times New Roman"/>
          <w:sz w:val="24"/>
          <w:szCs w:val="24"/>
          <w:rtl w:val="0"/>
        </w:rPr>
        <w:t xml:space="preserve">(4), 440–463. </w:t>
      </w:r>
      <w:r w:rsidDel="00000000" w:rsidR="00000000" w:rsidRPr="00000000">
        <w:rPr>
          <w:rFonts w:ascii="Times New Roman" w:cs="Times New Roman" w:eastAsia="Times New Roman" w:hAnsi="Times New Roman"/>
          <w:sz w:val="24"/>
          <w:szCs w:val="24"/>
          <w:rtl w:val="0"/>
        </w:rPr>
        <w:t xml:space="preserve">https://doi.org/10.1177/0047281616653491 </w:t>
      </w:r>
    </w:p>
    <w:p w:rsidR="00000000" w:rsidDel="00000000" w:rsidP="00000000" w:rsidRDefault="00000000" w:rsidRPr="00000000" w14:paraId="0000004B">
      <w:pPr>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Burgstahler, S. (2018). </w:t>
      </w:r>
      <w:r w:rsidDel="00000000" w:rsidR="00000000" w:rsidRPr="00000000">
        <w:rPr>
          <w:rFonts w:ascii="Times New Roman" w:cs="Times New Roman" w:eastAsia="Times New Roman" w:hAnsi="Times New Roman"/>
          <w:i w:val="1"/>
          <w:iCs w:val="1"/>
          <w:sz w:val="24"/>
          <w:szCs w:val="24"/>
          <w:rtl w:val="0"/>
        </w:rPr>
        <w:t xml:space="preserve">Equal access: Universal design of tutoring and learning centers</w:t>
      </w:r>
      <w:r w:rsidDel="00000000" w:rsidR="00000000" w:rsidRPr="00000000">
        <w:rPr>
          <w:rFonts w:ascii="Times New Roman" w:cs="Times New Roman" w:eastAsia="Times New Roman" w:hAnsi="Times New Roman"/>
          <w:sz w:val="24"/>
          <w:szCs w:val="24"/>
          <w:rtl w:val="0"/>
        </w:rPr>
        <w:t xml:space="preserve">. Disabilities, Opportunities, Internetworking, and Technology (DO-IT). </w:t>
      </w:r>
      <w:r w:rsidDel="00000000" w:rsidR="00000000" w:rsidRPr="00000000">
        <w:rPr>
          <w:rFonts w:ascii="Times New Roman" w:cs="Times New Roman" w:eastAsia="Times New Roman" w:hAnsi="Times New Roman"/>
          <w:sz w:val="24"/>
          <w:szCs w:val="24"/>
          <w:rtl w:val="0"/>
        </w:rPr>
        <w:t xml:space="preserve">https://doit.uw.edu/brief/equal-access-universal-design-of-tutoring-and-learning-centers/ </w:t>
      </w:r>
    </w:p>
    <w:p w:rsidR="00000000" w:rsidDel="00000000" w:rsidP="00000000" w:rsidRDefault="00000000" w:rsidRPr="00000000" w14:paraId="0000004C">
      <w:pPr>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Applied Special Technology. (2024, July). </w:t>
      </w:r>
      <w:r w:rsidDel="00000000" w:rsidR="00000000" w:rsidRPr="00000000">
        <w:rPr>
          <w:rFonts w:ascii="Times New Roman" w:cs="Times New Roman" w:eastAsia="Times New Roman" w:hAnsi="Times New Roman"/>
          <w:i w:val="1"/>
          <w:iCs w:val="1"/>
          <w:sz w:val="24"/>
          <w:szCs w:val="24"/>
          <w:rtl w:val="0"/>
        </w:rPr>
        <w:t xml:space="preserve">The UDL guidelines</w:t>
      </w:r>
      <w:r w:rsidDel="00000000" w:rsidR="00000000" w:rsidRPr="00000000">
        <w:rPr>
          <w:rFonts w:ascii="Times New Roman" w:cs="Times New Roman" w:eastAsia="Times New Roman" w:hAnsi="Times New Roman"/>
          <w:sz w:val="24"/>
          <w:szCs w:val="24"/>
          <w:rtl w:val="0"/>
        </w:rPr>
        <w:t xml:space="preserve">. Universal Design for Learning. </w:t>
      </w:r>
      <w:r w:rsidDel="00000000" w:rsidR="00000000" w:rsidRPr="00000000">
        <w:rPr>
          <w:rFonts w:ascii="Times New Roman" w:cs="Times New Roman" w:eastAsia="Times New Roman" w:hAnsi="Times New Roman"/>
          <w:sz w:val="24"/>
          <w:szCs w:val="24"/>
          <w:rtl w:val="0"/>
        </w:rPr>
        <w:t xml:space="preserve">https://udlguidelines.cast.org </w:t>
      </w:r>
    </w:p>
    <w:p w:rsidR="00000000" w:rsidDel="00000000" w:rsidP="00000000" w:rsidRDefault="00000000" w:rsidRPr="00000000" w14:paraId="0000004D">
      <w:pPr>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Applied Special Technology. (2025). </w:t>
      </w:r>
      <w:r w:rsidDel="00000000" w:rsidR="00000000" w:rsidRPr="00000000">
        <w:rPr>
          <w:rFonts w:ascii="Times New Roman" w:cs="Times New Roman" w:eastAsia="Times New Roman" w:hAnsi="Times New Roman"/>
          <w:i w:val="1"/>
          <w:iCs w:val="1"/>
          <w:sz w:val="24"/>
          <w:szCs w:val="24"/>
          <w:rtl w:val="0"/>
        </w:rPr>
        <w:t xml:space="preserve">Artificial Intelligence &amp; UDL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https://www.cast.org/what-we-do/artificial-intelligence/ </w:t>
      </w:r>
    </w:p>
    <w:p w:rsidR="00000000" w:rsidDel="00000000" w:rsidP="00000000" w:rsidRDefault="00000000" w:rsidRPr="00000000" w14:paraId="0000004E">
      <w:pPr>
        <w:widowControl w:val="0"/>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Applied Special Technology. (2025). </w:t>
      </w:r>
      <w:r w:rsidDel="00000000" w:rsidR="00000000" w:rsidRPr="00000000">
        <w:rPr>
          <w:rFonts w:ascii="Times New Roman" w:cs="Times New Roman" w:eastAsia="Times New Roman" w:hAnsi="Times New Roman"/>
          <w:i w:val="1"/>
          <w:iCs w:val="1"/>
          <w:sz w:val="24"/>
          <w:szCs w:val="24"/>
          <w:rtl w:val="0"/>
        </w:rPr>
        <w:t xml:space="preserve">Board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https://www.cast.org/about/board/ </w:t>
      </w:r>
    </w:p>
    <w:p w:rsidR="00000000" w:rsidDel="00000000" w:rsidP="00000000" w:rsidRDefault="00000000" w:rsidRPr="00000000" w14:paraId="0000004F">
      <w:pPr>
        <w:widowControl w:val="0"/>
        <w:spacing w:after="0" w:before="0" w:line="240" w:lineRule="auto"/>
        <w:ind w:left="720" w:hanging="720"/>
        <w:rPr>
          <w:rFonts w:ascii="Times New Roman" w:cs="Times New Roman" w:eastAsia="Times New Roman" w:hAnsi="Times New Roman"/>
          <w:color w:val="467886"/>
          <w:sz w:val="24"/>
          <w:szCs w:val="24"/>
          <w:u w:val="single"/>
        </w:rPr>
      </w:pPr>
      <w:r w:rsidDel="00000000" w:rsidR="00000000" w:rsidRPr="00000000">
        <w:rPr>
          <w:rFonts w:ascii="Times New Roman" w:cs="Times New Roman" w:eastAsia="Times New Roman" w:hAnsi="Times New Roman"/>
          <w:sz w:val="24"/>
          <w:szCs w:val="24"/>
          <w:rtl w:val="0"/>
        </w:rPr>
        <w:t xml:space="preserve">Cleveland Clinic. (2024, March 15). </w:t>
      </w:r>
      <w:r w:rsidDel="00000000" w:rsidR="00000000" w:rsidRPr="00000000">
        <w:rPr>
          <w:rFonts w:ascii="Times New Roman" w:cs="Times New Roman" w:eastAsia="Times New Roman" w:hAnsi="Times New Roman"/>
          <w:i w:val="1"/>
          <w:iCs w:val="1"/>
          <w:sz w:val="24"/>
          <w:szCs w:val="24"/>
          <w:rtl w:val="0"/>
        </w:rPr>
        <w:t xml:space="preserve">Executive function: Skills for life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https://my.clevelandclinic.org/health/articles/executive-function</w:t>
      </w:r>
      <w:r w:rsidDel="00000000" w:rsidR="00000000" w:rsidRPr="00000000">
        <w:rPr>
          <w:rtl w:val="0"/>
        </w:rPr>
      </w:r>
    </w:p>
    <w:p w:rsidR="00000000" w:rsidDel="00000000" w:rsidP="00000000" w:rsidRDefault="00000000" w:rsidRPr="00000000" w14:paraId="00000050">
      <w:pPr>
        <w:widowControl w:val="0"/>
        <w:spacing w:after="0" w:line="240" w:lineRule="auto"/>
        <w:ind w:left="720" w:right="201.6000000000000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Curda, E. H. (2024). </w:t>
      </w:r>
      <w:r w:rsidDel="00000000" w:rsidR="00000000" w:rsidRPr="00000000">
        <w:rPr>
          <w:rFonts w:ascii="Times New Roman" w:cs="Times New Roman" w:eastAsia="Times New Roman" w:hAnsi="Times New Roman"/>
          <w:i w:val="1"/>
          <w:iCs w:val="1"/>
          <w:sz w:val="24"/>
          <w:szCs w:val="24"/>
          <w:rtl w:val="0"/>
        </w:rPr>
        <w:t xml:space="preserve">Higher education: Education could improve information on accommodations for students with disabilities </w:t>
      </w:r>
      <w:r w:rsidDel="00000000" w:rsidR="00000000" w:rsidRPr="00000000">
        <w:rPr>
          <w:rFonts w:ascii="Times New Roman" w:cs="Times New Roman" w:eastAsia="Times New Roman" w:hAnsi="Times New Roman"/>
          <w:sz w:val="24"/>
          <w:szCs w:val="24"/>
          <w:rtl w:val="0"/>
        </w:rPr>
        <w:t xml:space="preserve">(Report to Congressional Addressees No. GAO-24-105614). United States Government Accountability Office. </w:t>
      </w:r>
    </w:p>
    <w:p w:rsidR="00000000" w:rsidDel="00000000" w:rsidP="00000000" w:rsidRDefault="00000000" w:rsidRPr="00000000" w14:paraId="00000051">
      <w:pPr>
        <w:widowControl w:val="0"/>
        <w:spacing w:after="0" w:line="240" w:lineRule="auto"/>
        <w:ind w:left="720" w:right="201.6000000000000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Dolmage, J. T. (2017). </w:t>
      </w:r>
      <w:r w:rsidDel="00000000" w:rsidR="00000000" w:rsidRPr="00000000">
        <w:rPr>
          <w:rFonts w:ascii="Times New Roman" w:cs="Times New Roman" w:eastAsia="Times New Roman" w:hAnsi="Times New Roman"/>
          <w:i w:val="1"/>
          <w:iCs w:val="1"/>
          <w:sz w:val="24"/>
          <w:szCs w:val="24"/>
          <w:rtl w:val="0"/>
        </w:rPr>
        <w:t xml:space="preserve">Academic ableism: Disability and higher education</w:t>
      </w:r>
      <w:r w:rsidDel="00000000" w:rsidR="00000000" w:rsidRPr="00000000">
        <w:rPr>
          <w:rFonts w:ascii="Times New Roman" w:cs="Times New Roman" w:eastAsia="Times New Roman" w:hAnsi="Times New Roman"/>
          <w:sz w:val="24"/>
          <w:szCs w:val="24"/>
          <w:rtl w:val="0"/>
        </w:rPr>
        <w:t xml:space="preserve">. University of Michigan Press. </w:t>
      </w:r>
    </w:p>
    <w:p w:rsidR="00000000" w:rsidDel="00000000" w:rsidP="00000000" w:rsidRDefault="00000000" w:rsidRPr="00000000" w14:paraId="00000052">
      <w:pPr>
        <w:widowControl w:val="0"/>
        <w:spacing w:after="0" w:line="240" w:lineRule="auto"/>
        <w:ind w:left="720" w:right="201.6000000000000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Hitt, A. H. (2012). Acce</w:t>
      </w:r>
      <w:r w:rsidDel="00000000" w:rsidR="00000000" w:rsidRPr="00000000">
        <w:rPr>
          <w:rFonts w:ascii="Times New Roman" w:cs="Times New Roman" w:eastAsia="Times New Roman" w:hAnsi="Times New Roman"/>
          <w:sz w:val="24"/>
          <w:szCs w:val="24"/>
          <w:rtl w:val="0"/>
        </w:rPr>
        <w:t xml:space="preserve">ss for all: The role of dis/ability in multiliteracy centers. </w:t>
      </w:r>
      <w:r w:rsidDel="00000000" w:rsidR="00000000" w:rsidRPr="00000000">
        <w:rPr>
          <w:rFonts w:ascii="Times New Roman" w:cs="Times New Roman" w:eastAsia="Times New Roman" w:hAnsi="Times New Roman"/>
          <w:i w:val="1"/>
          <w:iCs w:val="1"/>
          <w:sz w:val="24"/>
          <w:szCs w:val="24"/>
          <w:rtl w:val="0"/>
        </w:rPr>
        <w:t xml:space="preserve">Praxis: A  Writing Center Journal, 9</w:t>
      </w: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https://www.praxisuwc.com/hitt-92 </w:t>
      </w:r>
    </w:p>
    <w:p w:rsidR="00000000" w:rsidDel="00000000" w:rsidP="00000000" w:rsidRDefault="00000000" w:rsidRPr="00000000" w14:paraId="00000053">
      <w:pPr>
        <w:widowControl w:val="0"/>
        <w:spacing w:after="0" w:line="240" w:lineRule="auto"/>
        <w:ind w:left="720" w:right="201.6000000000000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Hitt, A. H. (2021). Resisting diagnosis and creating avenues for agency in the writing center. In </w:t>
      </w:r>
      <w:r w:rsidDel="00000000" w:rsidR="00000000" w:rsidRPr="00000000">
        <w:rPr>
          <w:rFonts w:ascii="Times New Roman" w:cs="Times New Roman" w:eastAsia="Times New Roman" w:hAnsi="Times New Roman"/>
          <w:i w:val="1"/>
          <w:iCs w:val="1"/>
          <w:sz w:val="24"/>
          <w:szCs w:val="24"/>
          <w:rtl w:val="0"/>
        </w:rPr>
        <w:t xml:space="preserve">Rhetorics of overcoming: Rewriting narratives of disability and accessibility in writing studies </w:t>
      </w:r>
      <w:r w:rsidDel="00000000" w:rsidR="00000000" w:rsidRPr="00000000">
        <w:rPr>
          <w:rFonts w:ascii="Times New Roman" w:cs="Times New Roman" w:eastAsia="Times New Roman" w:hAnsi="Times New Roman"/>
          <w:sz w:val="24"/>
          <w:szCs w:val="24"/>
          <w:rtl w:val="0"/>
        </w:rPr>
        <w:t xml:space="preserve">(pp. 61–84). National Council of Teachers of English. </w:t>
      </w:r>
    </w:p>
    <w:p w:rsidR="00000000" w:rsidDel="00000000" w:rsidP="00000000" w:rsidRDefault="00000000" w:rsidRPr="00000000" w14:paraId="00000054">
      <w:pPr>
        <w:widowControl w:val="0"/>
        <w:spacing w:after="0" w:line="240" w:lineRule="auto"/>
        <w:ind w:left="720" w:right="201.6000000000000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Jewett, L. (2022, May). </w:t>
      </w:r>
      <w:r w:rsidDel="00000000" w:rsidR="00000000" w:rsidRPr="00000000">
        <w:rPr>
          <w:rFonts w:ascii="Times New Roman" w:cs="Times New Roman" w:eastAsia="Times New Roman" w:hAnsi="Times New Roman"/>
          <w:i w:val="1"/>
          <w:iCs w:val="1"/>
          <w:sz w:val="24"/>
          <w:szCs w:val="24"/>
          <w:rtl w:val="0"/>
        </w:rPr>
        <w:t xml:space="preserve">How to plan online lessons with Universal Design for Learning (UDL)</w:t>
      </w:r>
      <w:r w:rsidDel="00000000" w:rsidR="00000000" w:rsidRPr="00000000">
        <w:rPr>
          <w:rFonts w:ascii="Times New Roman" w:cs="Times New Roman" w:eastAsia="Times New Roman" w:hAnsi="Times New Roman"/>
          <w:sz w:val="24"/>
          <w:szCs w:val="24"/>
          <w:rtl w:val="0"/>
        </w:rPr>
        <w:t xml:space="preserve">.  Understood. </w:t>
      </w:r>
      <w:r w:rsidDel="00000000" w:rsidR="00000000" w:rsidRPr="00000000">
        <w:rPr>
          <w:rFonts w:ascii="Times New Roman" w:cs="Times New Roman" w:eastAsia="Times New Roman" w:hAnsi="Times New Roman"/>
          <w:sz w:val="24"/>
          <w:szCs w:val="24"/>
          <w:rtl w:val="0"/>
        </w:rPr>
        <w:t xml:space="preserve">https://www.understood.org/en/articles/how-to-plan-online-lessons-with universal-design-for-learning-udl </w:t>
      </w:r>
    </w:p>
    <w:p w:rsidR="00000000" w:rsidDel="00000000" w:rsidP="00000000" w:rsidRDefault="00000000" w:rsidRPr="00000000" w14:paraId="00000055">
      <w:pPr>
        <w:widowControl w:val="0"/>
        <w:spacing w:after="0" w:before="49.4378662109375" w:line="240" w:lineRule="auto"/>
        <w:ind w:left="737.0600891113281" w:right="246.7431640625" w:hanging="73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Konrad, A. M. (2021). Access Fatigue: The Rhetorical Work of Disability in Everyday Life. In  </w:t>
      </w:r>
      <w:r w:rsidDel="00000000" w:rsidR="00000000" w:rsidRPr="00000000">
        <w:rPr>
          <w:rFonts w:ascii="Times New Roman" w:cs="Times New Roman" w:eastAsia="Times New Roman" w:hAnsi="Times New Roman"/>
          <w:i w:val="1"/>
          <w:iCs w:val="1"/>
          <w:sz w:val="24"/>
          <w:szCs w:val="24"/>
          <w:rtl w:val="0"/>
        </w:rPr>
        <w:t xml:space="preserve">College English </w:t>
      </w:r>
      <w:r w:rsidDel="00000000" w:rsidR="00000000" w:rsidRPr="00000000">
        <w:rPr>
          <w:rFonts w:ascii="Times New Roman" w:cs="Times New Roman" w:eastAsia="Times New Roman" w:hAnsi="Times New Roman"/>
          <w:sz w:val="24"/>
          <w:szCs w:val="24"/>
          <w:rtl w:val="0"/>
        </w:rPr>
        <w:t xml:space="preserve">(Vol. 83, Issue 3, pp. 179–199). NCTE.  </w:t>
      </w:r>
    </w:p>
    <w:p w:rsidR="00000000" w:rsidDel="00000000" w:rsidP="00000000" w:rsidRDefault="00000000" w:rsidRPr="00000000" w14:paraId="00000056">
      <w:pPr>
        <w:widowControl w:val="0"/>
        <w:spacing w:after="0" w:before="56.4361572265625" w:line="240" w:lineRule="auto"/>
        <w:ind w:left="722.42004394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https://doi.org/10.58680/ce202131093 </w:t>
      </w:r>
    </w:p>
    <w:p w:rsidR="00000000" w:rsidDel="00000000" w:rsidP="00000000" w:rsidRDefault="00000000" w:rsidRPr="00000000" w14:paraId="00000057">
      <w:pPr>
        <w:widowControl w:val="0"/>
        <w:spacing w:after="0" w:before="56.4361572265625"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 H. (2017a). </w:t>
      </w:r>
      <w:r w:rsidDel="00000000" w:rsidR="00000000" w:rsidRPr="00000000">
        <w:rPr>
          <w:rFonts w:ascii="Times New Roman" w:cs="Times New Roman" w:eastAsia="Times New Roman" w:hAnsi="Times New Roman"/>
          <w:i w:val="1"/>
          <w:iCs w:val="1"/>
          <w:sz w:val="24"/>
          <w:szCs w:val="24"/>
          <w:rtl w:val="0"/>
        </w:rPr>
        <w:t xml:space="preserve">Engaging disability &amp; universal design in the writing center</w:t>
      </w:r>
      <w:r w:rsidDel="00000000" w:rsidR="00000000" w:rsidRPr="00000000">
        <w:rPr>
          <w:rFonts w:ascii="Times New Roman" w:cs="Times New Roman" w:eastAsia="Times New Roman" w:hAnsi="Times New Roman"/>
          <w:sz w:val="24"/>
          <w:szCs w:val="24"/>
          <w:rtl w:val="0"/>
        </w:rPr>
        <w:t xml:space="preserve">. Disability in Florida State University’s Reading and Writing Center. </w:t>
      </w:r>
      <w:r w:rsidDel="00000000" w:rsidR="00000000" w:rsidRPr="00000000">
        <w:rPr>
          <w:rFonts w:ascii="Times New Roman" w:cs="Times New Roman" w:eastAsia="Times New Roman" w:hAnsi="Times New Roman"/>
          <w:sz w:val="24"/>
          <w:szCs w:val="24"/>
          <w:rtl w:val="0"/>
        </w:rPr>
        <w:t xml:space="preserve">https://heatherlang7.wixsite.com/disabilityinrwc </w:t>
      </w:r>
    </w:p>
    <w:p w:rsidR="00000000" w:rsidDel="00000000" w:rsidP="00000000" w:rsidRDefault="00000000" w:rsidRPr="00000000" w14:paraId="00000058">
      <w:pPr>
        <w:widowControl w:val="0"/>
        <w:spacing w:after="0" w:before="47.271728515625"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 H. (2017b). </w:t>
      </w:r>
      <w:r w:rsidDel="00000000" w:rsidR="00000000" w:rsidRPr="00000000">
        <w:rPr>
          <w:rFonts w:ascii="Times New Roman" w:cs="Times New Roman" w:eastAsia="Times New Roman" w:hAnsi="Times New Roman"/>
          <w:i w:val="1"/>
          <w:iCs w:val="1"/>
          <w:sz w:val="24"/>
          <w:szCs w:val="24"/>
          <w:rtl w:val="0"/>
        </w:rPr>
        <w:t xml:space="preserve">Understanding, perception, and accommodation of disability in writing centers </w:t>
      </w:r>
      <w:r w:rsidDel="00000000" w:rsidR="00000000" w:rsidRPr="00000000">
        <w:rPr>
          <w:rFonts w:ascii="Times New Roman" w:cs="Times New Roman" w:eastAsia="Times New Roman" w:hAnsi="Times New Roman"/>
          <w:sz w:val="24"/>
          <w:szCs w:val="24"/>
          <w:rtl w:val="0"/>
        </w:rPr>
        <w:t xml:space="preserve">(Doctoral dissertation). The Florida State University.</w:t>
      </w:r>
    </w:p>
    <w:p w:rsidR="00000000" w:rsidDel="00000000" w:rsidP="00000000" w:rsidRDefault="00000000" w:rsidRPr="00000000" w14:paraId="00000059">
      <w:pPr>
        <w:widowControl w:val="0"/>
        <w:spacing w:after="0" w:line="240" w:lineRule="auto"/>
        <w:ind w:left="729.6200561523438" w:right="195.865478515625" w:hanging="725.05996704101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Marom, L., &amp; Hardwick, J. (2025). From access to inclusion: A call for a cultural shift in higher education. </w:t>
      </w:r>
      <w:r w:rsidDel="00000000" w:rsidR="00000000" w:rsidRPr="00000000">
        <w:rPr>
          <w:rFonts w:ascii="Times New Roman" w:cs="Times New Roman" w:eastAsia="Times New Roman" w:hAnsi="Times New Roman"/>
          <w:i w:val="1"/>
          <w:iCs w:val="1"/>
          <w:sz w:val="24"/>
          <w:szCs w:val="24"/>
          <w:rtl w:val="0"/>
        </w:rPr>
        <w:t xml:space="preserve">Higher Education, 89</w:t>
      </w:r>
      <w:r w:rsidDel="00000000" w:rsidR="00000000" w:rsidRPr="00000000">
        <w:rPr>
          <w:rFonts w:ascii="Times New Roman" w:cs="Times New Roman" w:eastAsia="Times New Roman" w:hAnsi="Times New Roman"/>
          <w:sz w:val="24"/>
          <w:szCs w:val="24"/>
          <w:rtl w:val="0"/>
        </w:rPr>
        <w:t xml:space="preserve">(2), 513–534. </w:t>
      </w:r>
      <w:r w:rsidDel="00000000" w:rsidR="00000000" w:rsidRPr="00000000">
        <w:rPr>
          <w:rFonts w:ascii="Times New Roman" w:cs="Times New Roman" w:eastAsia="Times New Roman" w:hAnsi="Times New Roman"/>
          <w:sz w:val="24"/>
          <w:szCs w:val="24"/>
          <w:rtl w:val="0"/>
        </w:rPr>
        <w:t xml:space="preserve">https://doi.org/10.1007/s10734-024- 01032-4 </w:t>
      </w:r>
    </w:p>
    <w:p w:rsidR="00000000" w:rsidDel="00000000" w:rsidP="00000000" w:rsidRDefault="00000000" w:rsidRPr="00000000" w14:paraId="0000005A">
      <w:pPr>
        <w:widowControl w:val="0"/>
        <w:spacing w:after="0" w:line="240" w:lineRule="auto"/>
        <w:ind w:left="729.6200561523438" w:right="195.865478515625" w:hanging="725.05996704101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Marshall University UDL Community of Practice. (2021). </w:t>
      </w:r>
      <w:r w:rsidDel="00000000" w:rsidR="00000000" w:rsidRPr="00000000">
        <w:rPr>
          <w:rFonts w:ascii="Times New Roman" w:cs="Times New Roman" w:eastAsia="Times New Roman" w:hAnsi="Times New Roman"/>
          <w:i w:val="1"/>
          <w:iCs w:val="1"/>
          <w:sz w:val="24"/>
          <w:szCs w:val="24"/>
          <w:rtl w:val="0"/>
        </w:rPr>
        <w:t xml:space="preserve">Technology: Universal Design for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https://www.marshall.edu/udl/udl-and-technology/ </w:t>
      </w:r>
    </w:p>
    <w:p w:rsidR="00000000" w:rsidDel="00000000" w:rsidP="00000000" w:rsidRDefault="00000000" w:rsidRPr="00000000" w14:paraId="0000005B">
      <w:pPr>
        <w:widowControl w:val="0"/>
        <w:spacing w:after="0" w:line="240" w:lineRule="auto"/>
        <w:ind w:left="729.6200561523438" w:right="195.865478515625" w:hanging="725.059967041015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M. G., &amp; Trezek, B. J. (2006). Universal design and multiple literacies: Creating access and ownership for students with disabilities. </w:t>
      </w:r>
      <w:r w:rsidDel="00000000" w:rsidR="00000000" w:rsidRPr="00000000">
        <w:rPr>
          <w:rFonts w:ascii="Times New Roman" w:cs="Times New Roman" w:eastAsia="Times New Roman" w:hAnsi="Times New Roman"/>
          <w:i w:val="1"/>
          <w:iCs w:val="1"/>
          <w:sz w:val="24"/>
          <w:szCs w:val="24"/>
          <w:rtl w:val="0"/>
        </w:rPr>
        <w:t xml:space="preserve">Theory into Practice, 45</w:t>
      </w: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311–318. </w:t>
      </w:r>
      <w:r w:rsidDel="00000000" w:rsidR="00000000" w:rsidRPr="00000000">
        <w:rPr>
          <w:rFonts w:ascii="Times New Roman" w:cs="Times New Roman" w:eastAsia="Times New Roman" w:hAnsi="Times New Roman"/>
          <w:sz w:val="24"/>
          <w:szCs w:val="24"/>
          <w:rtl w:val="0"/>
        </w:rPr>
        <w:t xml:space="preserve">https://doi.org/10.1207/s15430421tip4504_7 </w:t>
      </w:r>
    </w:p>
    <w:p w:rsidR="00000000" w:rsidDel="00000000" w:rsidP="00000000" w:rsidRDefault="00000000" w:rsidRPr="00000000" w14:paraId="0000005C">
      <w:pPr>
        <w:widowControl w:val="0"/>
        <w:spacing w:after="0" w:before="0" w:line="240" w:lineRule="auto"/>
        <w:ind w:left="722.4200439453125" w:right="106.79931640625" w:hanging="717.85995483398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Microassist. (2023, May 16). Digital Accessibility Checklist: 10 Critical Elements to Evaluate  for Website Accessibility. </w:t>
      </w:r>
      <w:r w:rsidDel="00000000" w:rsidR="00000000" w:rsidRPr="00000000">
        <w:rPr>
          <w:rFonts w:ascii="Times New Roman" w:cs="Times New Roman" w:eastAsia="Times New Roman" w:hAnsi="Times New Roman"/>
          <w:i w:val="1"/>
          <w:iCs w:val="1"/>
          <w:sz w:val="24"/>
          <w:szCs w:val="24"/>
          <w:rtl w:val="0"/>
        </w:rPr>
        <w:t xml:space="preserve">Digital Accessibility Digest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widowControl w:val="0"/>
        <w:spacing w:after="0" w:before="47.271728515625" w:line="240" w:lineRule="auto"/>
        <w:ind w:left="722.42004394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https://www.microassist.com/digital-accessibility/digital-accessibility-checklist/ </w:t>
      </w:r>
    </w:p>
    <w:p w:rsidR="00000000" w:rsidDel="00000000" w:rsidP="00000000" w:rsidRDefault="00000000" w:rsidRPr="00000000" w14:paraId="0000005E">
      <w:pPr>
        <w:widowControl w:val="0"/>
        <w:spacing w:after="0" w:before="0" w:line="240" w:lineRule="auto"/>
        <w:ind w:left="721.2200927734375" w:right="168.641357421875" w:hanging="716.66000366210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(2025). </w:t>
      </w:r>
      <w:r w:rsidDel="00000000" w:rsidR="00000000" w:rsidRPr="00000000">
        <w:rPr>
          <w:rFonts w:ascii="Times New Roman" w:cs="Times New Roman" w:eastAsia="Times New Roman" w:hAnsi="Times New Roman"/>
          <w:i w:val="1"/>
          <w:iCs w:val="1"/>
          <w:sz w:val="24"/>
          <w:szCs w:val="24"/>
          <w:rtl w:val="0"/>
        </w:rPr>
        <w:t xml:space="preserve">Windows 11 accessibility features</w:t>
      </w:r>
      <w:r w:rsidDel="00000000" w:rsidR="00000000" w:rsidRPr="00000000">
        <w:rPr>
          <w:rFonts w:ascii="Times New Roman" w:cs="Times New Roman" w:eastAsia="Times New Roman" w:hAnsi="Times New Roman"/>
          <w:sz w:val="24"/>
          <w:szCs w:val="24"/>
          <w:rtl w:val="0"/>
        </w:rPr>
        <w:t xml:space="preserve">. Windows. </w:t>
      </w:r>
      <w:r w:rsidDel="00000000" w:rsidR="00000000" w:rsidRPr="00000000">
        <w:rPr>
          <w:rFonts w:ascii="Times New Roman" w:cs="Times New Roman" w:eastAsia="Times New Roman" w:hAnsi="Times New Roman"/>
          <w:sz w:val="24"/>
          <w:szCs w:val="24"/>
          <w:rtl w:val="0"/>
        </w:rPr>
        <w:t xml:space="preserve">https://www.microsoft.com/en us/windows/accessibility-features </w:t>
      </w:r>
    </w:p>
    <w:p w:rsidR="00000000" w:rsidDel="00000000" w:rsidP="00000000" w:rsidRDefault="00000000" w:rsidRPr="00000000" w14:paraId="0000005F">
      <w:pPr>
        <w:widowControl w:val="0"/>
        <w:spacing w:after="0" w:before="0" w:line="240" w:lineRule="auto"/>
        <w:ind w:left="721.2200927734375" w:right="168.641357421875" w:hanging="716.66000366210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Education. (2019, September 24). </w:t>
      </w:r>
      <w:r w:rsidDel="00000000" w:rsidR="00000000" w:rsidRPr="00000000">
        <w:rPr>
          <w:rFonts w:ascii="Times New Roman" w:cs="Times New Roman" w:eastAsia="Times New Roman" w:hAnsi="Times New Roman"/>
          <w:i w:val="1"/>
          <w:iCs w:val="1"/>
          <w:sz w:val="24"/>
          <w:szCs w:val="24"/>
          <w:rtl w:val="0"/>
        </w:rPr>
        <w:t xml:space="preserve">What is the immersive reader? </w:t>
      </w:r>
      <w:r w:rsidDel="00000000" w:rsidR="00000000" w:rsidRPr="00000000">
        <w:rPr>
          <w:rFonts w:ascii="Times New Roman" w:cs="Times New Roman" w:eastAsia="Times New Roman" w:hAnsi="Times New Roman"/>
          <w:sz w:val="24"/>
          <w:szCs w:val="24"/>
          <w:rtl w:val="0"/>
        </w:rPr>
        <w:t xml:space="preserve">[Video]. YouTube. </w:t>
      </w:r>
      <w:r w:rsidDel="00000000" w:rsidR="00000000" w:rsidRPr="00000000">
        <w:rPr>
          <w:rFonts w:ascii="Times New Roman" w:cs="Times New Roman" w:eastAsia="Times New Roman" w:hAnsi="Times New Roman"/>
          <w:sz w:val="24"/>
          <w:szCs w:val="24"/>
          <w:rtl w:val="0"/>
        </w:rPr>
        <w:t xml:space="preserve">https://www.youtube.com/watch?v=wHJJCLV-DNg </w:t>
      </w:r>
    </w:p>
    <w:p w:rsidR="00000000" w:rsidDel="00000000" w:rsidP="00000000" w:rsidRDefault="00000000" w:rsidRPr="00000000" w14:paraId="00000060">
      <w:pPr>
        <w:widowControl w:val="0"/>
        <w:spacing w:after="0" w:before="0" w:line="240" w:lineRule="auto"/>
        <w:ind w:left="721.2200927734375" w:right="168.641357421875" w:hanging="716.66000366210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M. (2011). </w:t>
      </w:r>
      <w:r w:rsidDel="00000000" w:rsidR="00000000" w:rsidRPr="00000000">
        <w:rPr>
          <w:rFonts w:ascii="Times New Roman" w:cs="Times New Roman" w:eastAsia="Times New Roman" w:hAnsi="Times New Roman"/>
          <w:i w:val="1"/>
          <w:iCs w:val="1"/>
          <w:sz w:val="24"/>
          <w:szCs w:val="24"/>
          <w:rtl w:val="0"/>
        </w:rPr>
        <w:t xml:space="preserve">Mad at school: Rhetorics of mental disability and academic life</w:t>
      </w:r>
      <w:r w:rsidDel="00000000" w:rsidR="00000000" w:rsidRPr="00000000">
        <w:rPr>
          <w:rFonts w:ascii="Times New Roman" w:cs="Times New Roman" w:eastAsia="Times New Roman" w:hAnsi="Times New Roman"/>
          <w:sz w:val="24"/>
          <w:szCs w:val="24"/>
          <w:rtl w:val="0"/>
        </w:rPr>
        <w:t xml:space="preserve">. University of Michigan Press. </w:t>
      </w:r>
    </w:p>
    <w:p w:rsidR="00000000" w:rsidDel="00000000" w:rsidP="00000000" w:rsidRDefault="00000000" w:rsidRPr="00000000" w14:paraId="00000061">
      <w:pPr>
        <w:widowControl w:val="0"/>
        <w:spacing w:after="0" w:before="0" w:line="240" w:lineRule="auto"/>
        <w:ind w:left="721.2200927734375" w:right="168.641357421875" w:hanging="716.66000366210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H., Miller, G., &amp; Steinhart, S. (2017). Informed practices: Destabilizing institutional barriers in the writing center. In </w:t>
      </w:r>
      <w:r w:rsidDel="00000000" w:rsidR="00000000" w:rsidRPr="00000000">
        <w:rPr>
          <w:rFonts w:ascii="Times New Roman" w:cs="Times New Roman" w:eastAsia="Times New Roman" w:hAnsi="Times New Roman"/>
          <w:i w:val="1"/>
          <w:iCs w:val="1"/>
          <w:sz w:val="24"/>
          <w:szCs w:val="24"/>
          <w:rtl w:val="0"/>
        </w:rPr>
        <w:t xml:space="preserve">Writing centers and disability </w:t>
      </w:r>
      <w:r w:rsidDel="00000000" w:rsidR="00000000" w:rsidRPr="00000000">
        <w:rPr>
          <w:rFonts w:ascii="Times New Roman" w:cs="Times New Roman" w:eastAsia="Times New Roman" w:hAnsi="Times New Roman"/>
          <w:sz w:val="24"/>
          <w:szCs w:val="24"/>
          <w:rtl w:val="0"/>
        </w:rPr>
        <w:t xml:space="preserve">(pp. 257–276). Fountainhead Press.</w:t>
      </w:r>
    </w:p>
    <w:p w:rsidR="00000000" w:rsidDel="00000000" w:rsidP="00000000" w:rsidRDefault="00000000" w:rsidRPr="00000000" w14:paraId="00000062">
      <w:pPr>
        <w:widowControl w:val="0"/>
        <w:spacing w:after="0" w:line="240" w:lineRule="auto"/>
        <w:ind w:left="720.5000305175781" w:right="407.044677734375" w:hanging="704.90005493164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Sanchez-Rodriguez, N. A., &amp; LoGiudice, J. (2018). Building bridges: Fostering dynamic partnerships between the library department and office of student disability services in higher education. </w:t>
      </w:r>
      <w:r w:rsidDel="00000000" w:rsidR="00000000" w:rsidRPr="00000000">
        <w:rPr>
          <w:rFonts w:ascii="Times New Roman" w:cs="Times New Roman" w:eastAsia="Times New Roman" w:hAnsi="Times New Roman"/>
          <w:i w:val="1"/>
          <w:iCs w:val="1"/>
          <w:sz w:val="24"/>
          <w:szCs w:val="24"/>
          <w:rtl w:val="0"/>
        </w:rPr>
        <w:t xml:space="preserve">Journal of Access Services, 15</w:t>
      </w:r>
      <w:r w:rsidDel="00000000" w:rsidR="00000000" w:rsidRPr="00000000">
        <w:rPr>
          <w:rFonts w:ascii="Times New Roman" w:cs="Times New Roman" w:eastAsia="Times New Roman" w:hAnsi="Times New Roman"/>
          <w:sz w:val="24"/>
          <w:szCs w:val="24"/>
          <w:rtl w:val="0"/>
        </w:rPr>
        <w:t xml:space="preserve">(4), 142–160. </w:t>
      </w:r>
    </w:p>
    <w:p w:rsidR="00000000" w:rsidDel="00000000" w:rsidP="00000000" w:rsidRDefault="00000000" w:rsidRPr="00000000" w14:paraId="00000063">
      <w:pPr>
        <w:widowControl w:val="0"/>
        <w:spacing w:after="0" w:before="49.521484375" w:line="240" w:lineRule="auto"/>
        <w:ind w:left="782.42004394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https://doi.org/10.1080/15367967.2018.1520640 </w:t>
      </w:r>
    </w:p>
    <w:p w:rsidR="00000000" w:rsidDel="00000000" w:rsidP="00000000" w:rsidRDefault="00000000" w:rsidRPr="00000000" w14:paraId="00000064">
      <w:pPr>
        <w:widowControl w:val="0"/>
        <w:spacing w:after="0" w:before="49.521484375"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Center for Universal Design. (1997, April). </w:t>
      </w:r>
      <w:r w:rsidDel="00000000" w:rsidR="00000000" w:rsidRPr="00000000">
        <w:rPr>
          <w:rFonts w:ascii="Times New Roman" w:cs="Times New Roman" w:eastAsia="Times New Roman" w:hAnsi="Times New Roman"/>
          <w:i w:val="1"/>
          <w:iCs w:val="1"/>
          <w:sz w:val="24"/>
          <w:szCs w:val="24"/>
          <w:rtl w:val="0"/>
        </w:rPr>
        <w:t xml:space="preserve">The principles of universal design</w:t>
      </w:r>
      <w:r w:rsidDel="00000000" w:rsidR="00000000" w:rsidRPr="00000000">
        <w:rPr>
          <w:rFonts w:ascii="Times New Roman" w:cs="Times New Roman" w:eastAsia="Times New Roman" w:hAnsi="Times New Roman"/>
          <w:sz w:val="24"/>
          <w:szCs w:val="24"/>
          <w:rtl w:val="0"/>
        </w:rPr>
        <w:t xml:space="preserve">. North Carolina State College of Design. </w:t>
      </w:r>
      <w:r w:rsidDel="00000000" w:rsidR="00000000" w:rsidRPr="00000000">
        <w:rPr>
          <w:rFonts w:ascii="Times New Roman" w:cs="Times New Roman" w:eastAsia="Times New Roman" w:hAnsi="Times New Roman"/>
          <w:sz w:val="24"/>
          <w:szCs w:val="24"/>
          <w:rtl w:val="0"/>
        </w:rPr>
        <w:t xml:space="preserve">https://design.ncsu.edu/research/center-for-universal design/. </w:t>
      </w:r>
    </w:p>
    <w:p w:rsidR="00000000" w:rsidDel="00000000" w:rsidP="00000000" w:rsidRDefault="00000000" w:rsidRPr="00000000" w14:paraId="00000065">
      <w:pPr>
        <w:widowControl w:val="0"/>
        <w:spacing w:after="0" w:before="49.521484375"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Yergeau, M. (2013). Clinically significant disturbance: On theorists who theorize theory of mind. </w:t>
      </w:r>
      <w:r w:rsidDel="00000000" w:rsidR="00000000" w:rsidRPr="00000000">
        <w:rPr>
          <w:rFonts w:ascii="Times New Roman" w:cs="Times New Roman" w:eastAsia="Times New Roman" w:hAnsi="Times New Roman"/>
          <w:i w:val="1"/>
          <w:iCs w:val="1"/>
          <w:sz w:val="24"/>
          <w:szCs w:val="24"/>
          <w:rtl w:val="0"/>
        </w:rPr>
        <w:t xml:space="preserve">Disability Studies Quarterly, 33</w:t>
      </w: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https://doi.org/10.18061/dsq.v33i4.3876</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spacing w:line="276" w:lineRule="auto"/>
      <w:ind w:righ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                           </w:t>
      <w:tab/>
      <w:t xml:space="preserve">                                                                    </w:t>
      <w:tab/>
      <w:t xml:space="preserve">                                         </w:t>
    </w:r>
  </w:p>
  <w:p w:rsidR="00000000" w:rsidDel="00000000" w:rsidP="00000000" w:rsidRDefault="00000000" w:rsidRPr="00000000" w14:paraId="00000067">
    <w:pPr>
      <w:spacing w:line="276" w:lineRule="auto"/>
      <w:rPr/>
    </w:pPr>
    <w:r w:rsidDel="00000000" w:rsidR="00000000" w:rsidRPr="00000000">
      <w:rPr>
        <w:rFonts w:ascii="Times New Roman" w:cs="Times New Roman" w:eastAsia="Times New Roman" w:hAnsi="Times New Roman"/>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