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F20C" w14:textId="6D7D771B" w:rsidR="005C2455" w:rsidRPr="002D193C" w:rsidRDefault="005C2455" w:rsidP="005C2455">
      <w:pPr>
        <w:pStyle w:val="Articletitle"/>
        <w:spacing w:after="0" w:line="240" w:lineRule="auto"/>
        <w:contextualSpacing/>
        <w:jc w:val="center"/>
        <w:rPr>
          <w:rFonts w:ascii="MS Reference Sans Serif" w:hAnsi="MS Reference Sans Serif"/>
          <w:sz w:val="24"/>
        </w:rPr>
      </w:pPr>
      <w:r w:rsidRPr="002D193C">
        <w:rPr>
          <w:rFonts w:ascii="MS Reference Sans Serif" w:hAnsi="MS Reference Sans Serif"/>
          <w:sz w:val="24"/>
        </w:rPr>
        <w:t xml:space="preserve">Facilitating Culturally Responsive Teaching </w:t>
      </w:r>
      <w:r w:rsidR="00A40B26">
        <w:rPr>
          <w:rFonts w:ascii="MS Reference Sans Serif" w:hAnsi="MS Reference Sans Serif"/>
          <w:sz w:val="24"/>
        </w:rPr>
        <w:t>T</w:t>
      </w:r>
      <w:r w:rsidRPr="002D193C">
        <w:rPr>
          <w:rFonts w:ascii="MS Reference Sans Serif" w:hAnsi="MS Reference Sans Serif"/>
          <w:sz w:val="24"/>
        </w:rPr>
        <w:t>hrough Online Courses and Coaching</w:t>
      </w:r>
    </w:p>
    <w:p w14:paraId="434C6C05" w14:textId="4B25F7B6" w:rsidR="00563967" w:rsidRPr="002D193C" w:rsidRDefault="005C2455">
      <w:pPr>
        <w:rPr>
          <w:rFonts w:ascii="MS Reference Sans Serif" w:hAnsi="MS Reference Sans Serif"/>
          <w:b/>
        </w:rPr>
      </w:pPr>
      <w:r w:rsidRPr="002D193C">
        <w:rPr>
          <w:rFonts w:ascii="MS Reference Sans Serif" w:hAnsi="MS Reference Sans Serif"/>
          <w:b/>
        </w:rPr>
        <w:t>Trish Lopez</w:t>
      </w:r>
      <w:r w:rsidR="00563967" w:rsidRPr="002D193C">
        <w:rPr>
          <w:rFonts w:ascii="MS Reference Sans Serif" w:hAnsi="MS Reference Sans Serif"/>
          <w:b/>
        </w:rPr>
        <w:t xml:space="preserve">, </w:t>
      </w:r>
      <w:r w:rsidRPr="002D193C">
        <w:rPr>
          <w:rFonts w:ascii="MS Reference Sans Serif" w:hAnsi="MS Reference Sans Serif"/>
          <w:b/>
        </w:rPr>
        <w:t>University of Arkansas, trishl@uark.edu</w:t>
      </w:r>
    </w:p>
    <w:p w14:paraId="37CB59C6" w14:textId="67F25392" w:rsidR="0009729F" w:rsidRPr="002D193C" w:rsidRDefault="005C2455">
      <w:pPr>
        <w:rPr>
          <w:rFonts w:ascii="MS Reference Sans Serif" w:hAnsi="MS Reference Sans Serif"/>
          <w:b/>
        </w:rPr>
      </w:pPr>
      <w:r w:rsidRPr="002D193C">
        <w:rPr>
          <w:rFonts w:ascii="MS Reference Sans Serif" w:hAnsi="MS Reference Sans Serif"/>
          <w:b/>
        </w:rPr>
        <w:t>Janet Penner-Williams, University of Arkansas</w:t>
      </w:r>
      <w:r w:rsidR="002A59DE">
        <w:rPr>
          <w:rFonts w:ascii="MS Reference Sans Serif" w:hAnsi="MS Reference Sans Serif"/>
          <w:b/>
        </w:rPr>
        <w:t xml:space="preserve">, </w:t>
      </w:r>
    </w:p>
    <w:p w14:paraId="65D8E3E4" w14:textId="3633F7F3" w:rsidR="00563967" w:rsidRPr="002D193C" w:rsidRDefault="005C2455" w:rsidP="002D193C">
      <w:pPr>
        <w:rPr>
          <w:rFonts w:ascii="MS Reference Sans Serif" w:hAnsi="MS Reference Sans Serif"/>
          <w:b/>
        </w:rPr>
      </w:pPr>
      <w:r w:rsidRPr="002D193C">
        <w:rPr>
          <w:rFonts w:ascii="MS Reference Sans Serif" w:hAnsi="MS Reference Sans Serif"/>
          <w:b/>
        </w:rPr>
        <w:t>Rebecca Carpenter de Cortina, University of Arkansas</w:t>
      </w:r>
    </w:p>
    <w:p w14:paraId="689A2AA4" w14:textId="77777777" w:rsidR="005C2455" w:rsidRPr="00E33192" w:rsidRDefault="005C2455" w:rsidP="005C2455">
      <w:pPr>
        <w:ind w:left="720"/>
        <w:contextualSpacing/>
        <w:rPr>
          <w:rFonts w:ascii="MS Reference Sans Serif" w:hAnsi="MS Reference Sans Serif"/>
          <w:sz w:val="22"/>
        </w:rPr>
      </w:pPr>
    </w:p>
    <w:p w14:paraId="45412D80" w14:textId="35096A48" w:rsidR="005C2455" w:rsidRDefault="005C2455" w:rsidP="005C2455">
      <w:pPr>
        <w:contextualSpacing/>
        <w:jc w:val="left"/>
        <w:rPr>
          <w:rFonts w:ascii="MS Reference Sans Serif" w:hAnsi="MS Reference Sans Serif"/>
          <w:sz w:val="22"/>
        </w:rPr>
      </w:pPr>
      <w:r>
        <w:rPr>
          <w:rFonts w:ascii="MS Reference Sans Serif" w:hAnsi="MS Reference Sans Serif"/>
          <w:sz w:val="22"/>
        </w:rPr>
        <w:t xml:space="preserve">Abstract. </w:t>
      </w:r>
      <w:r w:rsidRPr="005C2455">
        <w:rPr>
          <w:rFonts w:ascii="MS Reference Sans Serif" w:hAnsi="MS Reference Sans Serif"/>
          <w:sz w:val="22"/>
        </w:rPr>
        <w:t xml:space="preserve">Teacher professional development and education programs are enhancing job-embedded experiences to address the disparity between theory and implementation. Simultaneously, higher education is now offering online courses to attract geographically distant educators, especially in high-needs fields such as teaching English Learners and Culturally and Linguistically Diverse students. There is a need to investigate what online teacher professional development and education programs can do to promote teachers’ application of what they learn. This pilot study utilized the Inventory of Situationally and Culturally Responsive Teaching (ISCRT) to investigate 23 </w:t>
      </w:r>
      <w:r w:rsidR="00D670DE">
        <w:rPr>
          <w:rFonts w:ascii="MS Reference Sans Serif" w:hAnsi="MS Reference Sans Serif"/>
          <w:sz w:val="22"/>
        </w:rPr>
        <w:t>in-service</w:t>
      </w:r>
      <w:r w:rsidRPr="005C2455">
        <w:rPr>
          <w:rFonts w:ascii="MS Reference Sans Serif" w:hAnsi="MS Reference Sans Serif"/>
          <w:sz w:val="22"/>
        </w:rPr>
        <w:t xml:space="preserve"> teachers’ culturally responsive teaching (CRT) practices before and after receiving online coursework and coaching. When compared to the control group, treatment teachers’ scores on four of the five ISCRT standards—</w:t>
      </w:r>
      <w:r w:rsidR="007F4C4A">
        <w:rPr>
          <w:rFonts w:ascii="MS Reference Sans Serif" w:hAnsi="MS Reference Sans Serif"/>
          <w:i/>
          <w:iCs/>
          <w:sz w:val="22"/>
        </w:rPr>
        <w:t>J</w:t>
      </w:r>
      <w:r w:rsidRPr="002D193C">
        <w:rPr>
          <w:rFonts w:ascii="MS Reference Sans Serif" w:hAnsi="MS Reference Sans Serif"/>
          <w:i/>
          <w:iCs/>
          <w:sz w:val="22"/>
        </w:rPr>
        <w:t xml:space="preserve">oint </w:t>
      </w:r>
      <w:r w:rsidR="007F4C4A">
        <w:rPr>
          <w:rFonts w:ascii="MS Reference Sans Serif" w:hAnsi="MS Reference Sans Serif"/>
          <w:i/>
          <w:iCs/>
          <w:sz w:val="22"/>
        </w:rPr>
        <w:t>P</w:t>
      </w:r>
      <w:r w:rsidRPr="002D193C">
        <w:rPr>
          <w:rFonts w:ascii="MS Reference Sans Serif" w:hAnsi="MS Reference Sans Serif"/>
          <w:i/>
          <w:iCs/>
          <w:sz w:val="22"/>
        </w:rPr>
        <w:t xml:space="preserve">roductive </w:t>
      </w:r>
      <w:r w:rsidR="007F4C4A">
        <w:rPr>
          <w:rFonts w:ascii="MS Reference Sans Serif" w:hAnsi="MS Reference Sans Serif"/>
          <w:i/>
          <w:iCs/>
          <w:sz w:val="22"/>
        </w:rPr>
        <w:t>A</w:t>
      </w:r>
      <w:r w:rsidRPr="002D193C">
        <w:rPr>
          <w:rFonts w:ascii="MS Reference Sans Serif" w:hAnsi="MS Reference Sans Serif"/>
          <w:i/>
          <w:iCs/>
          <w:sz w:val="22"/>
        </w:rPr>
        <w:t xml:space="preserve">ctivity, </w:t>
      </w:r>
      <w:r w:rsidR="007F4C4A">
        <w:rPr>
          <w:rFonts w:ascii="MS Reference Sans Serif" w:hAnsi="MS Reference Sans Serif"/>
          <w:i/>
          <w:iCs/>
          <w:sz w:val="22"/>
        </w:rPr>
        <w:t>L</w:t>
      </w:r>
      <w:r w:rsidRPr="002D193C">
        <w:rPr>
          <w:rFonts w:ascii="MS Reference Sans Serif" w:hAnsi="MS Reference Sans Serif"/>
          <w:i/>
          <w:iCs/>
          <w:sz w:val="22"/>
        </w:rPr>
        <w:t xml:space="preserve">anguage and </w:t>
      </w:r>
      <w:r w:rsidR="007F4C4A">
        <w:rPr>
          <w:rFonts w:ascii="MS Reference Sans Serif" w:hAnsi="MS Reference Sans Serif"/>
          <w:i/>
          <w:iCs/>
          <w:sz w:val="22"/>
        </w:rPr>
        <w:t>L</w:t>
      </w:r>
      <w:r w:rsidRPr="002D193C">
        <w:rPr>
          <w:rFonts w:ascii="MS Reference Sans Serif" w:hAnsi="MS Reference Sans Serif"/>
          <w:i/>
          <w:iCs/>
          <w:sz w:val="22"/>
        </w:rPr>
        <w:t xml:space="preserve">iteracy </w:t>
      </w:r>
      <w:r w:rsidR="007F4C4A">
        <w:rPr>
          <w:rFonts w:ascii="MS Reference Sans Serif" w:hAnsi="MS Reference Sans Serif"/>
          <w:i/>
          <w:iCs/>
          <w:sz w:val="22"/>
        </w:rPr>
        <w:t>D</w:t>
      </w:r>
      <w:r w:rsidRPr="002D193C">
        <w:rPr>
          <w:rFonts w:ascii="MS Reference Sans Serif" w:hAnsi="MS Reference Sans Serif"/>
          <w:i/>
          <w:iCs/>
          <w:sz w:val="22"/>
        </w:rPr>
        <w:t xml:space="preserve">evelopment, </w:t>
      </w:r>
      <w:r w:rsidR="007F4C4A">
        <w:rPr>
          <w:rFonts w:ascii="MS Reference Sans Serif" w:hAnsi="MS Reference Sans Serif"/>
          <w:i/>
          <w:iCs/>
          <w:sz w:val="22"/>
        </w:rPr>
        <w:t>C</w:t>
      </w:r>
      <w:r w:rsidRPr="002D193C">
        <w:rPr>
          <w:rFonts w:ascii="MS Reference Sans Serif" w:hAnsi="MS Reference Sans Serif"/>
          <w:i/>
          <w:iCs/>
          <w:sz w:val="22"/>
        </w:rPr>
        <w:t xml:space="preserve">hallenging </w:t>
      </w:r>
      <w:r w:rsidR="007F4C4A">
        <w:rPr>
          <w:rFonts w:ascii="MS Reference Sans Serif" w:hAnsi="MS Reference Sans Serif"/>
          <w:i/>
          <w:iCs/>
          <w:sz w:val="22"/>
        </w:rPr>
        <w:t>A</w:t>
      </w:r>
      <w:r w:rsidRPr="002D193C">
        <w:rPr>
          <w:rFonts w:ascii="MS Reference Sans Serif" w:hAnsi="MS Reference Sans Serif"/>
          <w:i/>
          <w:iCs/>
          <w:sz w:val="22"/>
        </w:rPr>
        <w:t xml:space="preserve">ctivities, </w:t>
      </w:r>
      <w:r w:rsidRPr="002D193C">
        <w:rPr>
          <w:rFonts w:ascii="MS Reference Sans Serif" w:hAnsi="MS Reference Sans Serif"/>
          <w:sz w:val="22"/>
        </w:rPr>
        <w:t>and</w:t>
      </w:r>
      <w:r w:rsidRPr="002D193C">
        <w:rPr>
          <w:rFonts w:ascii="MS Reference Sans Serif" w:hAnsi="MS Reference Sans Serif"/>
          <w:i/>
          <w:iCs/>
          <w:sz w:val="22"/>
        </w:rPr>
        <w:t xml:space="preserve"> </w:t>
      </w:r>
      <w:r w:rsidR="007F4C4A">
        <w:rPr>
          <w:rFonts w:ascii="MS Reference Sans Serif" w:hAnsi="MS Reference Sans Serif"/>
          <w:i/>
          <w:iCs/>
          <w:sz w:val="22"/>
        </w:rPr>
        <w:t>I</w:t>
      </w:r>
      <w:r w:rsidRPr="002D193C">
        <w:rPr>
          <w:rFonts w:ascii="MS Reference Sans Serif" w:hAnsi="MS Reference Sans Serif"/>
          <w:i/>
          <w:iCs/>
          <w:sz w:val="22"/>
        </w:rPr>
        <w:t xml:space="preserve">nstructional </w:t>
      </w:r>
      <w:r w:rsidR="007F4C4A">
        <w:rPr>
          <w:rFonts w:ascii="MS Reference Sans Serif" w:hAnsi="MS Reference Sans Serif"/>
          <w:i/>
          <w:iCs/>
          <w:sz w:val="22"/>
        </w:rPr>
        <w:t>C</w:t>
      </w:r>
      <w:r w:rsidRPr="002D193C">
        <w:rPr>
          <w:rFonts w:ascii="MS Reference Sans Serif" w:hAnsi="MS Reference Sans Serif"/>
          <w:i/>
          <w:iCs/>
          <w:sz w:val="22"/>
        </w:rPr>
        <w:t>onversations</w:t>
      </w:r>
      <w:r w:rsidRPr="005C2455">
        <w:rPr>
          <w:rFonts w:ascii="MS Reference Sans Serif" w:hAnsi="MS Reference Sans Serif"/>
          <w:sz w:val="22"/>
        </w:rPr>
        <w:t>—as well as the composite were statistically significant. Findings suggest online CRT coursework with complementary instructional coaching supports teachers’ implementation of new knowledge and pedagogy.</w:t>
      </w:r>
    </w:p>
    <w:p w14:paraId="3D8FCCAE" w14:textId="77777777" w:rsidR="005C2455" w:rsidRDefault="005C2455" w:rsidP="005C2455">
      <w:pPr>
        <w:contextualSpacing/>
        <w:jc w:val="left"/>
        <w:rPr>
          <w:rFonts w:ascii="MS Reference Sans Serif" w:hAnsi="MS Reference Sans Serif"/>
          <w:sz w:val="22"/>
        </w:rPr>
      </w:pPr>
    </w:p>
    <w:p w14:paraId="7D62C272" w14:textId="1B0FB937" w:rsidR="005C2455" w:rsidRPr="00E33192" w:rsidRDefault="005C2455" w:rsidP="005C2455">
      <w:pPr>
        <w:contextualSpacing/>
        <w:jc w:val="left"/>
        <w:rPr>
          <w:rFonts w:ascii="MS Reference Sans Serif" w:hAnsi="MS Reference Sans Serif"/>
          <w:sz w:val="22"/>
        </w:rPr>
      </w:pPr>
      <w:r w:rsidRPr="00E33192">
        <w:rPr>
          <w:rFonts w:ascii="MS Reference Sans Serif" w:hAnsi="MS Reference Sans Serif"/>
          <w:sz w:val="22"/>
        </w:rPr>
        <w:t>Keywords: culturally and linguistically diverse; English learners; instructional coaching; online teacher learning; culturally responsive teaching</w:t>
      </w:r>
    </w:p>
    <w:p w14:paraId="26702E69" w14:textId="77777777" w:rsidR="00563967" w:rsidRPr="004F16DF" w:rsidRDefault="00563967" w:rsidP="00563967">
      <w:pPr>
        <w:jc w:val="left"/>
        <w:rPr>
          <w:rFonts w:ascii="MS Reference Sans Serif" w:hAnsi="MS Reference Sans Serif"/>
          <w:i/>
          <w:sz w:val="22"/>
          <w:szCs w:val="22"/>
        </w:rPr>
      </w:pPr>
    </w:p>
    <w:p w14:paraId="2AF104D7" w14:textId="77777777" w:rsidR="002D193C" w:rsidRPr="00E33192" w:rsidRDefault="002D193C" w:rsidP="002D193C">
      <w:pPr>
        <w:pStyle w:val="NormalWeb"/>
        <w:spacing w:before="0" w:beforeAutospacing="0" w:after="0" w:afterAutospacing="0"/>
        <w:contextualSpacing/>
        <w:rPr>
          <w:rFonts w:ascii="MS Reference Sans Serif" w:hAnsi="MS Reference Sans Serif"/>
          <w:sz w:val="22"/>
          <w:szCs w:val="22"/>
        </w:rPr>
      </w:pPr>
      <w:r w:rsidRPr="00E33192">
        <w:rPr>
          <w:rFonts w:ascii="MS Reference Sans Serif" w:hAnsi="MS Reference Sans Serif"/>
          <w:sz w:val="22"/>
          <w:szCs w:val="22"/>
        </w:rPr>
        <w:t xml:space="preserve">Teacher educators in higher education are charged with addressing a two-pronged trend from research, which is reflected in the </w:t>
      </w:r>
      <w:bookmarkStart w:id="0" w:name="_Hlk32394921"/>
      <w:r w:rsidRPr="00E33192">
        <w:rPr>
          <w:rFonts w:ascii="MS Reference Sans Serif" w:hAnsi="MS Reference Sans Serif"/>
          <w:sz w:val="22"/>
          <w:szCs w:val="22"/>
        </w:rPr>
        <w:t xml:space="preserve">increasing demand for online academic courses </w:t>
      </w:r>
      <w:bookmarkEnd w:id="0"/>
      <w:r w:rsidRPr="00E33192">
        <w:rPr>
          <w:rFonts w:ascii="MS Reference Sans Serif" w:hAnsi="MS Reference Sans Serif"/>
          <w:sz w:val="22"/>
          <w:szCs w:val="22"/>
        </w:rPr>
        <w:t>(Allen &amp; Seaman, 2013; Soffer &amp; Nachmias, 2018) that do not forego</w:t>
      </w:r>
      <w:bookmarkStart w:id="1" w:name="_Hlk32394938"/>
      <w:r w:rsidRPr="00E33192">
        <w:rPr>
          <w:rFonts w:ascii="MS Reference Sans Serif" w:hAnsi="MS Reference Sans Serif"/>
          <w:sz w:val="22"/>
          <w:szCs w:val="22"/>
        </w:rPr>
        <w:t xml:space="preserve"> the application of job-embedded experiential learning </w:t>
      </w:r>
      <w:bookmarkEnd w:id="1"/>
      <w:r w:rsidRPr="00E33192">
        <w:rPr>
          <w:rFonts w:ascii="MS Reference Sans Serif" w:hAnsi="MS Reference Sans Serif"/>
          <w:sz w:val="22"/>
          <w:szCs w:val="22"/>
        </w:rPr>
        <w:t xml:space="preserve">(Daniel &amp; Pray, 2017; Webster-Wright, 2009). </w:t>
      </w:r>
      <w:bookmarkStart w:id="2" w:name="_Hlk32394952"/>
      <w:r w:rsidRPr="00E33192">
        <w:rPr>
          <w:rFonts w:ascii="MS Reference Sans Serif" w:hAnsi="MS Reference Sans Serif"/>
          <w:sz w:val="22"/>
          <w:szCs w:val="22"/>
        </w:rPr>
        <w:t>This is especially true in the areas of culturally responsive teaching (CRT) for culturally and linguistically diverse (CLD) students, including English Learners (ELs).</w:t>
      </w:r>
      <w:bookmarkEnd w:id="2"/>
    </w:p>
    <w:p w14:paraId="7B537C5A" w14:textId="77777777" w:rsidR="002D193C" w:rsidRPr="00E33192" w:rsidRDefault="002D193C" w:rsidP="002D193C">
      <w:pPr>
        <w:pStyle w:val="NormalWeb"/>
        <w:spacing w:before="0" w:beforeAutospacing="0" w:after="0" w:afterAutospacing="0"/>
        <w:contextualSpacing/>
        <w:rPr>
          <w:rFonts w:ascii="MS Reference Sans Serif" w:hAnsi="MS Reference Sans Serif"/>
          <w:sz w:val="22"/>
          <w:szCs w:val="22"/>
        </w:rPr>
      </w:pPr>
    </w:p>
    <w:p w14:paraId="4CD67724" w14:textId="77777777" w:rsidR="002D193C" w:rsidRPr="00E33192" w:rsidRDefault="002D193C" w:rsidP="002D193C">
      <w:pPr>
        <w:pStyle w:val="NormalWeb"/>
        <w:spacing w:before="0" w:beforeAutospacing="0" w:after="0" w:afterAutospacing="0"/>
        <w:contextualSpacing/>
        <w:rPr>
          <w:rFonts w:ascii="MS Reference Sans Serif" w:hAnsi="MS Reference Sans Serif"/>
          <w:sz w:val="22"/>
          <w:szCs w:val="22"/>
        </w:rPr>
      </w:pPr>
      <w:r w:rsidRPr="00E33192">
        <w:rPr>
          <w:rFonts w:ascii="MS Reference Sans Serif" w:hAnsi="MS Reference Sans Serif"/>
          <w:sz w:val="22"/>
          <w:szCs w:val="22"/>
        </w:rPr>
        <w:t>Culturally responsive teaching refers to “using the cultural characteristics, experiences, and perspectives of ethnically diverse students as conduits for teaching them more effectively” (Gay, 2002, p. 106) while simultaneously supporting cultural identity, native language, and cultural connections (Siwatu, 2007). In response, purposefully designed online coursework has been implemented as a way to provide needed professional development (PD) to teachers of ELs (</w:t>
      </w:r>
      <w:proofErr w:type="spellStart"/>
      <w:r w:rsidRPr="00E33192">
        <w:rPr>
          <w:rFonts w:ascii="MS Reference Sans Serif" w:hAnsi="MS Reference Sans Serif"/>
          <w:sz w:val="22"/>
          <w:szCs w:val="22"/>
        </w:rPr>
        <w:t>Sutcher</w:t>
      </w:r>
      <w:proofErr w:type="spellEnd"/>
      <w:r w:rsidRPr="00E33192">
        <w:rPr>
          <w:rFonts w:ascii="MS Reference Sans Serif" w:hAnsi="MS Reference Sans Serif"/>
          <w:sz w:val="22"/>
          <w:szCs w:val="22"/>
        </w:rPr>
        <w:t xml:space="preserve"> et al., 2019), especially in rural areas where teachers may have difficulty accessing it (Hansen-Thomas et al., 2016). S</w:t>
      </w:r>
      <w:r w:rsidRPr="00E33192">
        <w:rPr>
          <w:rFonts w:ascii="MS Reference Sans Serif" w:hAnsi="MS Reference Sans Serif"/>
          <w:color w:val="000000"/>
          <w:sz w:val="22"/>
          <w:szCs w:val="22"/>
        </w:rPr>
        <w:t xml:space="preserve">pecific attention within the PD should move “beyond just good teaching” to incorporate knowledge of language and culture, skills in collaboration and leadership, and training on specific instructional strategies for ELs (He et al., 2011, p. 15; Master et al., 2016). </w:t>
      </w:r>
    </w:p>
    <w:p w14:paraId="17C78F1E" w14:textId="77777777" w:rsidR="002D193C" w:rsidRPr="00E33192" w:rsidRDefault="002D193C" w:rsidP="002D193C">
      <w:pPr>
        <w:pStyle w:val="NormalWeb"/>
        <w:spacing w:before="0" w:beforeAutospacing="0" w:after="0" w:afterAutospacing="0"/>
        <w:contextualSpacing/>
        <w:rPr>
          <w:rFonts w:ascii="MS Reference Sans Serif" w:hAnsi="MS Reference Sans Serif"/>
          <w:color w:val="000000"/>
          <w:sz w:val="22"/>
          <w:szCs w:val="22"/>
        </w:rPr>
      </w:pPr>
      <w:r w:rsidRPr="00E33192">
        <w:rPr>
          <w:rFonts w:ascii="MS Reference Sans Serif" w:hAnsi="MS Reference Sans Serif"/>
          <w:color w:val="000000"/>
          <w:sz w:val="22"/>
          <w:szCs w:val="22"/>
        </w:rPr>
        <w:lastRenderedPageBreak/>
        <w:t xml:space="preserve">Teacher education programs in higher education must ensure online EL coursework is not only interactive, but also effective at changing CRT practices. Teacher quality is perceived to be a major predictor of student success (Organization for Economic Cooperation and Development [OECD], 2005; Rivkin et al., 2005), and teachers of CLD students should incorporate CRT to provide quality instruction for all students. </w:t>
      </w:r>
      <w:bookmarkStart w:id="3" w:name="_Hlk32394982"/>
    </w:p>
    <w:p w14:paraId="5DCA2BD1" w14:textId="6D8D3C55" w:rsidR="002D193C" w:rsidRDefault="002D193C" w:rsidP="002D193C">
      <w:pPr>
        <w:pStyle w:val="NormalWeb"/>
        <w:spacing w:before="0" w:beforeAutospacing="0" w:after="0" w:afterAutospacing="0"/>
        <w:contextualSpacing/>
        <w:rPr>
          <w:rFonts w:ascii="MS Reference Sans Serif" w:hAnsi="MS Reference Sans Serif"/>
          <w:sz w:val="22"/>
          <w:szCs w:val="22"/>
        </w:rPr>
      </w:pPr>
      <w:r w:rsidRPr="00E33192">
        <w:rPr>
          <w:rFonts w:ascii="MS Reference Sans Serif" w:hAnsi="MS Reference Sans Serif"/>
          <w:sz w:val="22"/>
          <w:szCs w:val="22"/>
        </w:rPr>
        <w:t>This pilot study investigates the effects of an online job-embedded PD program that focuses on the implementation of CRT practices through applied, interactive coursework</w:t>
      </w:r>
      <w:r w:rsidR="000F0281">
        <w:rPr>
          <w:rFonts w:ascii="MS Reference Sans Serif" w:hAnsi="MS Reference Sans Serif"/>
          <w:sz w:val="22"/>
          <w:szCs w:val="22"/>
        </w:rPr>
        <w:t>,</w:t>
      </w:r>
      <w:r w:rsidRPr="00E33192">
        <w:rPr>
          <w:rFonts w:ascii="MS Reference Sans Serif" w:hAnsi="MS Reference Sans Serif"/>
          <w:sz w:val="22"/>
          <w:szCs w:val="22"/>
        </w:rPr>
        <w:t xml:space="preserve"> and instructional coaching</w:t>
      </w:r>
      <w:bookmarkEnd w:id="3"/>
      <w:r w:rsidRPr="00E33192">
        <w:rPr>
          <w:rFonts w:ascii="MS Reference Sans Serif" w:hAnsi="MS Reference Sans Serif"/>
          <w:sz w:val="22"/>
          <w:szCs w:val="22"/>
        </w:rPr>
        <w:t xml:space="preserve">. The program is designed to provide </w:t>
      </w:r>
      <w:r w:rsidR="00D670DE">
        <w:rPr>
          <w:rFonts w:ascii="MS Reference Sans Serif" w:hAnsi="MS Reference Sans Serif"/>
          <w:sz w:val="22"/>
          <w:szCs w:val="22"/>
        </w:rPr>
        <w:t>in-service</w:t>
      </w:r>
      <w:r w:rsidRPr="00E33192">
        <w:rPr>
          <w:rFonts w:ascii="MS Reference Sans Serif" w:hAnsi="MS Reference Sans Serif"/>
          <w:sz w:val="22"/>
          <w:szCs w:val="22"/>
        </w:rPr>
        <w:t xml:space="preserve"> teachers the competencies and training needed to pass the English to Speakers of Other Languages Praxis exam and earn an English as a Second Language (ESL) endorsement. The study was designed to examine th</w:t>
      </w:r>
      <w:r w:rsidR="00366407">
        <w:rPr>
          <w:rFonts w:ascii="MS Reference Sans Serif" w:hAnsi="MS Reference Sans Serif"/>
          <w:sz w:val="22"/>
          <w:szCs w:val="22"/>
        </w:rPr>
        <w:t>is</w:t>
      </w:r>
      <w:r w:rsidRPr="00E33192">
        <w:rPr>
          <w:rFonts w:ascii="MS Reference Sans Serif" w:hAnsi="MS Reference Sans Serif"/>
          <w:sz w:val="22"/>
          <w:szCs w:val="22"/>
        </w:rPr>
        <w:t xml:space="preserve"> question</w:t>
      </w:r>
      <w:r w:rsidR="00366407">
        <w:rPr>
          <w:rFonts w:ascii="MS Reference Sans Serif" w:hAnsi="MS Reference Sans Serif"/>
          <w:sz w:val="22"/>
          <w:szCs w:val="22"/>
        </w:rPr>
        <w:t>:</w:t>
      </w:r>
      <w:r w:rsidRPr="00E33192">
        <w:rPr>
          <w:rFonts w:ascii="MS Reference Sans Serif" w:hAnsi="MS Reference Sans Serif"/>
          <w:sz w:val="22"/>
          <w:szCs w:val="22"/>
        </w:rPr>
        <w:t xml:space="preserve"> </w:t>
      </w:r>
      <w:r w:rsidR="00366407">
        <w:rPr>
          <w:rFonts w:ascii="MS Reference Sans Serif" w:hAnsi="MS Reference Sans Serif"/>
          <w:iCs/>
          <w:sz w:val="22"/>
          <w:szCs w:val="22"/>
        </w:rPr>
        <w:t>D</w:t>
      </w:r>
      <w:r w:rsidRPr="000F0281">
        <w:rPr>
          <w:rFonts w:ascii="MS Reference Sans Serif" w:hAnsi="MS Reference Sans Serif"/>
          <w:iCs/>
          <w:sz w:val="22"/>
          <w:szCs w:val="22"/>
        </w:rPr>
        <w:t>oes online coursework with coaching support teachers’ implementation of culturally responsive teaching?</w:t>
      </w:r>
      <w:r w:rsidRPr="00E33192">
        <w:rPr>
          <w:rFonts w:ascii="MS Reference Sans Serif" w:hAnsi="MS Reference Sans Serif"/>
          <w:i/>
          <w:sz w:val="22"/>
          <w:szCs w:val="22"/>
        </w:rPr>
        <w:t xml:space="preserve"> </w:t>
      </w:r>
      <w:r w:rsidRPr="00E33192">
        <w:rPr>
          <w:rFonts w:ascii="MS Reference Sans Serif" w:hAnsi="MS Reference Sans Serif"/>
          <w:sz w:val="22"/>
          <w:szCs w:val="22"/>
        </w:rPr>
        <w:t xml:space="preserve">As such, it adds to previous research on CRT, online coursework, and instructional coaching while touching on collaborative online learning communities (Cullen et al., 2013). The article provides insights that may be of interest to teacher educators looking to implement a hybrid online program, those who wish to incorporate a coaching component in online courses or those who hope to increase implementation of CRT. </w:t>
      </w:r>
    </w:p>
    <w:p w14:paraId="2FFFDA6D" w14:textId="77777777" w:rsidR="002D193C" w:rsidRPr="00E33192" w:rsidRDefault="002D193C" w:rsidP="002D193C">
      <w:pPr>
        <w:pStyle w:val="NormalWeb"/>
        <w:spacing w:before="0" w:beforeAutospacing="0" w:after="0" w:afterAutospacing="0"/>
        <w:contextualSpacing/>
        <w:rPr>
          <w:rFonts w:ascii="MS Reference Sans Serif" w:hAnsi="MS Reference Sans Serif"/>
          <w:sz w:val="22"/>
          <w:szCs w:val="22"/>
        </w:rPr>
      </w:pPr>
    </w:p>
    <w:p w14:paraId="056B57DA" w14:textId="77777777" w:rsidR="002D193C" w:rsidRPr="002D193C" w:rsidRDefault="002D193C" w:rsidP="002D193C">
      <w:pPr>
        <w:pStyle w:val="Heading2"/>
        <w:rPr>
          <w:rFonts w:ascii="MS Reference Sans Serif" w:hAnsi="MS Reference Sans Serif"/>
          <w:b/>
          <w:bCs/>
          <w:i/>
          <w:color w:val="auto"/>
          <w:sz w:val="22"/>
          <w:szCs w:val="22"/>
        </w:rPr>
      </w:pPr>
      <w:r w:rsidRPr="002D193C">
        <w:rPr>
          <w:rFonts w:ascii="MS Reference Sans Serif" w:hAnsi="MS Reference Sans Serif"/>
          <w:b/>
          <w:bCs/>
          <w:color w:val="auto"/>
          <w:sz w:val="22"/>
          <w:szCs w:val="22"/>
        </w:rPr>
        <w:t>Culturally Responsive Teaching</w:t>
      </w:r>
    </w:p>
    <w:p w14:paraId="0215E7EB" w14:textId="77777777" w:rsidR="002D193C" w:rsidRPr="00474D32" w:rsidRDefault="002D193C" w:rsidP="002D193C">
      <w:pPr>
        <w:jc w:val="left"/>
      </w:pPr>
    </w:p>
    <w:p w14:paraId="1D6ECBCF" w14:textId="4AA9F7A9"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An assets-based perspective</w:t>
      </w:r>
      <w:r w:rsidRPr="00E33192">
        <w:rPr>
          <w:rFonts w:ascii="MS Reference Sans Serif" w:hAnsi="MS Reference Sans Serif"/>
          <w:i/>
          <w:sz w:val="22"/>
        </w:rPr>
        <w:t xml:space="preserve"> </w:t>
      </w:r>
      <w:r w:rsidRPr="00E33192">
        <w:rPr>
          <w:rFonts w:ascii="MS Reference Sans Serif" w:hAnsi="MS Reference Sans Serif"/>
          <w:sz w:val="22"/>
        </w:rPr>
        <w:t>toward CLD students’ cultural and linguistic differences promotes instructional equity and improves academic and personal</w:t>
      </w:r>
      <w:r w:rsidRPr="00E33192">
        <w:rPr>
          <w:rFonts w:ascii="MS Reference Sans Serif" w:eastAsia="Cambria" w:hAnsi="MS Reference Sans Serif"/>
          <w:bCs/>
          <w:sz w:val="22"/>
        </w:rPr>
        <w:t xml:space="preserve"> results for students </w:t>
      </w:r>
      <w:r w:rsidRPr="00E33192">
        <w:rPr>
          <w:rFonts w:ascii="MS Reference Sans Serif" w:hAnsi="MS Reference Sans Serif"/>
          <w:sz w:val="22"/>
        </w:rPr>
        <w:t>(</w:t>
      </w:r>
      <w:r w:rsidRPr="00E33192">
        <w:rPr>
          <w:rFonts w:ascii="MS Reference Sans Serif" w:eastAsia="Cambria" w:hAnsi="MS Reference Sans Serif"/>
          <w:bCs/>
          <w:sz w:val="22"/>
        </w:rPr>
        <w:t>García &amp; Kleifgen, 2010;</w:t>
      </w:r>
      <w:r w:rsidRPr="00E33192">
        <w:rPr>
          <w:rFonts w:ascii="MS Reference Sans Serif" w:hAnsi="MS Reference Sans Serif"/>
          <w:sz w:val="22"/>
        </w:rPr>
        <w:t xml:space="preserve"> Gay, 2010; Villegas &amp; Lucas, 2002). Gay (2013) advocated CRT as a method for improving achievement through accepting differences as not only normative but also valuable to societal and personal development. CRT situates learning in students’ lived experiences and frames of reference to contextualize learning, set high expectations, and create equal status among all students (Gay, 2002; Herrera, 2016; Ladson-Billings, 2014).</w:t>
      </w:r>
      <w:r w:rsidR="00316D42">
        <w:rPr>
          <w:rFonts w:ascii="MS Reference Sans Serif" w:hAnsi="MS Reference Sans Serif"/>
          <w:sz w:val="22"/>
        </w:rPr>
        <w:t xml:space="preserve"> </w:t>
      </w:r>
      <w:r w:rsidRPr="00E33192">
        <w:rPr>
          <w:rFonts w:ascii="MS Reference Sans Serif" w:hAnsi="MS Reference Sans Serif"/>
          <w:sz w:val="22"/>
        </w:rPr>
        <w:t>However, scholars have highlighted the need for concrete examples of what CRT looks like in practice (Howard &amp; Rodriguez-Minkoff, 2017; Sleeter, 2012)</w:t>
      </w:r>
      <w:bookmarkStart w:id="4" w:name="_Hlk32396201"/>
      <w:r w:rsidRPr="00E33192">
        <w:rPr>
          <w:rFonts w:ascii="MS Reference Sans Serif" w:hAnsi="MS Reference Sans Serif"/>
          <w:sz w:val="22"/>
        </w:rPr>
        <w:t xml:space="preserve">. </w:t>
      </w:r>
    </w:p>
    <w:p w14:paraId="3E8D88D6" w14:textId="77777777" w:rsidR="002D193C" w:rsidRPr="00E33192" w:rsidRDefault="002D193C" w:rsidP="002D193C">
      <w:pPr>
        <w:contextualSpacing/>
        <w:jc w:val="left"/>
        <w:rPr>
          <w:rFonts w:ascii="MS Reference Sans Serif" w:hAnsi="MS Reference Sans Serif"/>
          <w:sz w:val="22"/>
        </w:rPr>
      </w:pPr>
    </w:p>
    <w:p w14:paraId="56C752E8" w14:textId="137A2601" w:rsidR="002D193C"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One method to identify CRT in practice is the Inventory of Situationally and Culturally Responsive Teaching (ISCRT), a rubric with twenty-two indicators of CRT placed on a continuum from not observed to integrating (Herrera &amp; </w:t>
      </w:r>
      <w:proofErr w:type="spellStart"/>
      <w:r w:rsidRPr="00E33192">
        <w:rPr>
          <w:rFonts w:ascii="MS Reference Sans Serif" w:hAnsi="MS Reference Sans Serif"/>
          <w:sz w:val="22"/>
        </w:rPr>
        <w:t>Kavimandan</w:t>
      </w:r>
      <w:proofErr w:type="spellEnd"/>
      <w:r w:rsidRPr="00E33192">
        <w:rPr>
          <w:rFonts w:ascii="MS Reference Sans Serif" w:hAnsi="MS Reference Sans Serif"/>
          <w:sz w:val="22"/>
        </w:rPr>
        <w:t>, 2019).</w:t>
      </w:r>
      <w:r w:rsidR="00316D42">
        <w:rPr>
          <w:rFonts w:ascii="MS Reference Sans Serif" w:hAnsi="MS Reference Sans Serif"/>
          <w:sz w:val="22"/>
        </w:rPr>
        <w:t xml:space="preserve"> </w:t>
      </w:r>
      <w:r w:rsidRPr="00E33192">
        <w:rPr>
          <w:rFonts w:ascii="MS Reference Sans Serif" w:hAnsi="MS Reference Sans Serif"/>
          <w:sz w:val="22"/>
        </w:rPr>
        <w:t xml:space="preserve">The ISCRT is based on the </w:t>
      </w:r>
      <w:r w:rsidRPr="00E33192">
        <w:rPr>
          <w:rFonts w:ascii="MS Reference Sans Serif" w:hAnsi="MS Reference Sans Serif"/>
          <w:i/>
          <w:iCs/>
          <w:sz w:val="22"/>
        </w:rPr>
        <w:t xml:space="preserve">Standards for Effective Pedagogy and Learning </w:t>
      </w:r>
      <w:r w:rsidRPr="00E33192">
        <w:rPr>
          <w:rFonts w:ascii="MS Reference Sans Serif" w:hAnsi="MS Reference Sans Serif"/>
          <w:sz w:val="22"/>
        </w:rPr>
        <w:t>from the Center for Research on Education, Diversity, &amp; Excellence (CREDE). The five standards focus on teachers and students producing together, cross-curricular language and literacy development, connecting content to students’ lives, teaching complex thinking, and teaching through conversations (</w:t>
      </w:r>
      <w:r w:rsidRPr="00E33192">
        <w:rPr>
          <w:rFonts w:ascii="MS Reference Sans Serif" w:hAnsi="MS Reference Sans Serif"/>
          <w:bCs/>
          <w:iCs/>
          <w:sz w:val="22"/>
        </w:rPr>
        <w:t>Herrera &amp; Kavimandan, 2019). Considering these five standards enables teachers to view instruction through a culturally responsive lens and</w:t>
      </w:r>
      <w:r w:rsidRPr="00E33192">
        <w:rPr>
          <w:rFonts w:ascii="MS Reference Sans Serif" w:hAnsi="MS Reference Sans Serif"/>
          <w:sz w:val="22"/>
        </w:rPr>
        <w:t xml:space="preserve"> requires them to address content learning alongside language development in order to further challenge ELs (Bunch, 2013; O’Hara &amp; Pritchard, 2008). The online coursework developed for this study incorporated components of the </w:t>
      </w:r>
      <w:r w:rsidR="006D555A">
        <w:rPr>
          <w:rFonts w:ascii="MS Reference Sans Serif" w:hAnsi="MS Reference Sans Serif"/>
          <w:sz w:val="22"/>
        </w:rPr>
        <w:t>ISCRT</w:t>
      </w:r>
      <w:r w:rsidRPr="00E33192">
        <w:rPr>
          <w:rFonts w:ascii="MS Reference Sans Serif" w:hAnsi="MS Reference Sans Serif"/>
          <w:sz w:val="22"/>
        </w:rPr>
        <w:t xml:space="preserve"> with the state’s English language proficiency (ELP) standards. To achieve equitable education, teachers need to improve upon ELP standards by incorporating appropriate instructional scaffolds for each student (Coady et al., 2016) and applying CRT. </w:t>
      </w:r>
    </w:p>
    <w:p w14:paraId="05BB74DA" w14:textId="77777777" w:rsidR="002D193C" w:rsidRPr="002D193C" w:rsidRDefault="002D193C" w:rsidP="002D193C">
      <w:pPr>
        <w:pStyle w:val="Heading2"/>
        <w:jc w:val="left"/>
        <w:rPr>
          <w:rFonts w:ascii="MS Reference Sans Serif" w:hAnsi="MS Reference Sans Serif"/>
          <w:b/>
          <w:bCs/>
          <w:i/>
          <w:color w:val="auto"/>
          <w:sz w:val="22"/>
          <w:szCs w:val="22"/>
        </w:rPr>
      </w:pPr>
      <w:r w:rsidRPr="002D193C">
        <w:rPr>
          <w:rFonts w:ascii="MS Reference Sans Serif" w:hAnsi="MS Reference Sans Serif"/>
          <w:b/>
          <w:bCs/>
          <w:color w:val="auto"/>
          <w:sz w:val="22"/>
          <w:szCs w:val="22"/>
        </w:rPr>
        <w:lastRenderedPageBreak/>
        <w:t>CRT Applied to Online Coursework and Coaching</w:t>
      </w:r>
    </w:p>
    <w:p w14:paraId="037E73B0" w14:textId="77777777" w:rsidR="002D193C" w:rsidRPr="00474D32" w:rsidRDefault="002D193C" w:rsidP="002D193C">
      <w:pPr>
        <w:jc w:val="left"/>
      </w:pPr>
    </w:p>
    <w:p w14:paraId="2528EC06" w14:textId="77777777" w:rsidR="002D193C" w:rsidRPr="00E33192" w:rsidRDefault="002D193C" w:rsidP="002D193C">
      <w:pPr>
        <w:pStyle w:val="ListParagraph"/>
        <w:ind w:left="0"/>
        <w:jc w:val="left"/>
        <w:rPr>
          <w:rFonts w:ascii="MS Reference Sans Serif" w:hAnsi="MS Reference Sans Serif"/>
          <w:bCs/>
          <w:iCs/>
          <w:sz w:val="22"/>
        </w:rPr>
      </w:pPr>
      <w:r w:rsidRPr="00E33192">
        <w:rPr>
          <w:rFonts w:ascii="MS Reference Sans Serif" w:hAnsi="MS Reference Sans Serif"/>
          <w:sz w:val="22"/>
        </w:rPr>
        <w:t xml:space="preserve">Coursework provided concrete illustrations of what CRT looked like in a variety of grade levels, content areas, and student language proficiency levels through instructor-provided examples and participants’ applications that were shared with others through discussion boards, shared videos, virtual classrooms, and recorded audio comments. The courses were based on the state’s Competencies for ESL Teachers, Grades K-12, and the content requirements of the English to Speakers of Other Languages Praxis II exam. Ample research provided a framework for CRT methods and content knowledge (Fenner &amp; Snyder, 2017; Freeman &amp; Freeman, 2014; Herrera 2016; Wright, 2015). </w:t>
      </w:r>
      <w:bookmarkEnd w:id="4"/>
    </w:p>
    <w:p w14:paraId="2DF367CA" w14:textId="77777777" w:rsidR="002D193C" w:rsidRPr="00E33192" w:rsidRDefault="002D193C" w:rsidP="002D193C">
      <w:pPr>
        <w:pStyle w:val="ListParagraph"/>
        <w:ind w:left="0"/>
        <w:jc w:val="left"/>
        <w:rPr>
          <w:rFonts w:ascii="MS Reference Sans Serif" w:hAnsi="MS Reference Sans Serif"/>
          <w:bCs/>
          <w:iCs/>
          <w:sz w:val="22"/>
        </w:rPr>
      </w:pPr>
    </w:p>
    <w:p w14:paraId="6DE18067" w14:textId="1AE1BDD8" w:rsidR="002D193C" w:rsidRPr="00E33192" w:rsidRDefault="002D193C" w:rsidP="002D193C">
      <w:pPr>
        <w:pStyle w:val="ListParagraph"/>
        <w:ind w:left="0"/>
        <w:jc w:val="left"/>
        <w:rPr>
          <w:rFonts w:ascii="MS Reference Sans Serif" w:hAnsi="MS Reference Sans Serif"/>
          <w:bCs/>
          <w:iCs/>
          <w:sz w:val="22"/>
        </w:rPr>
      </w:pPr>
      <w:r w:rsidRPr="00E33192">
        <w:rPr>
          <w:rFonts w:ascii="MS Reference Sans Serif" w:hAnsi="MS Reference Sans Serif"/>
          <w:bCs/>
          <w:iCs/>
          <w:sz w:val="22"/>
        </w:rPr>
        <w:t>For example</w:t>
      </w:r>
      <w:r w:rsidR="008510B4">
        <w:rPr>
          <w:rFonts w:ascii="MS Reference Sans Serif" w:hAnsi="MS Reference Sans Serif"/>
          <w:bCs/>
          <w:iCs/>
          <w:sz w:val="22"/>
        </w:rPr>
        <w:t>,</w:t>
      </w:r>
      <w:r w:rsidRPr="00E33192">
        <w:rPr>
          <w:rFonts w:ascii="MS Reference Sans Serif" w:hAnsi="MS Reference Sans Serif"/>
          <w:bCs/>
          <w:iCs/>
          <w:sz w:val="22"/>
        </w:rPr>
        <w:t xml:space="preserve"> in the course </w:t>
      </w:r>
      <w:r w:rsidRPr="00E6111D">
        <w:rPr>
          <w:rFonts w:ascii="MS Reference Sans Serif" w:hAnsi="MS Reference Sans Serif"/>
          <w:bCs/>
          <w:sz w:val="22"/>
        </w:rPr>
        <w:t>Second Language Methodologies</w:t>
      </w:r>
      <w:r w:rsidR="00A64946">
        <w:rPr>
          <w:rFonts w:ascii="MS Reference Sans Serif" w:hAnsi="MS Reference Sans Serif"/>
          <w:bCs/>
          <w:sz w:val="22"/>
        </w:rPr>
        <w:t>,</w:t>
      </w:r>
      <w:r w:rsidRPr="00E33192">
        <w:rPr>
          <w:rFonts w:ascii="MS Reference Sans Serif" w:hAnsi="MS Reference Sans Serif"/>
          <w:bCs/>
          <w:iCs/>
          <w:sz w:val="22"/>
        </w:rPr>
        <w:t xml:space="preserve"> teachers focused on the standard of developing language and literacy across the curriculum. After reading material on the topic</w:t>
      </w:r>
      <w:r w:rsidR="00A64946">
        <w:rPr>
          <w:rFonts w:ascii="MS Reference Sans Serif" w:hAnsi="MS Reference Sans Serif"/>
          <w:bCs/>
          <w:iCs/>
          <w:sz w:val="22"/>
        </w:rPr>
        <w:t>,</w:t>
      </w:r>
      <w:r w:rsidRPr="00E33192">
        <w:rPr>
          <w:rFonts w:ascii="MS Reference Sans Serif" w:hAnsi="MS Reference Sans Serif"/>
          <w:bCs/>
          <w:iCs/>
          <w:sz w:val="22"/>
        </w:rPr>
        <w:t xml:space="preserve"> teachers commented on the importance of both content and language objectives in content area classrooms through asynchronously recorded audio-visual comments. Later in the course, the topic was revisited when the teachers were asked to submit a lesson plan </w:t>
      </w:r>
      <w:r w:rsidR="00A00C74">
        <w:rPr>
          <w:rFonts w:ascii="MS Reference Sans Serif" w:hAnsi="MS Reference Sans Serif"/>
          <w:bCs/>
          <w:iCs/>
          <w:sz w:val="22"/>
        </w:rPr>
        <w:t>that</w:t>
      </w:r>
      <w:r w:rsidRPr="00E33192">
        <w:rPr>
          <w:rFonts w:ascii="MS Reference Sans Serif" w:hAnsi="MS Reference Sans Serif"/>
          <w:bCs/>
          <w:iCs/>
          <w:sz w:val="22"/>
        </w:rPr>
        <w:t xml:space="preserve"> incorporated an instructional strategy with content and language objectives. After receiving feedback from the course instructors, the teachers recorded themselves teaching the lesson and then reflected on the lesson’s effectiveness for ELs. Providing teachers with the opportunity to learn through experience and reflect on that learning aligns with research on professional learning (Webster-Wright, 2009) and helps teachers apply, enact, and adjust CRT in their everyday pedagogy.</w:t>
      </w:r>
    </w:p>
    <w:p w14:paraId="7F07EF51" w14:textId="77777777" w:rsidR="002D193C" w:rsidRPr="00E33192" w:rsidRDefault="002D193C" w:rsidP="002D193C">
      <w:pPr>
        <w:pStyle w:val="ListParagraph"/>
        <w:ind w:left="0"/>
        <w:jc w:val="left"/>
        <w:rPr>
          <w:rFonts w:ascii="MS Reference Sans Serif" w:hAnsi="MS Reference Sans Serif"/>
          <w:bCs/>
          <w:iCs/>
          <w:sz w:val="22"/>
        </w:rPr>
      </w:pPr>
    </w:p>
    <w:p w14:paraId="6E74F906" w14:textId="0A834351" w:rsidR="002D193C" w:rsidRPr="00E33192" w:rsidRDefault="002D193C" w:rsidP="002D193C">
      <w:pPr>
        <w:pStyle w:val="ListParagraph"/>
        <w:ind w:left="0"/>
        <w:jc w:val="left"/>
        <w:rPr>
          <w:rFonts w:ascii="MS Reference Sans Serif" w:hAnsi="MS Reference Sans Serif"/>
          <w:bCs/>
          <w:iCs/>
          <w:sz w:val="22"/>
        </w:rPr>
      </w:pPr>
      <w:r w:rsidRPr="00E33192">
        <w:rPr>
          <w:rFonts w:ascii="MS Reference Sans Serif" w:hAnsi="MS Reference Sans Serif"/>
          <w:sz w:val="22"/>
        </w:rPr>
        <w:t>In addition to providing concrete examples of CRT, the instructors also created the coursework following extant research on effective practices for online instruction and professional development. Research since 2008 suggests</w:t>
      </w:r>
      <w:r w:rsidR="0032396F">
        <w:rPr>
          <w:rFonts w:ascii="MS Reference Sans Serif" w:hAnsi="MS Reference Sans Serif"/>
          <w:sz w:val="22"/>
        </w:rPr>
        <w:t xml:space="preserve"> that</w:t>
      </w:r>
      <w:r w:rsidRPr="00E33192">
        <w:rPr>
          <w:rFonts w:ascii="MS Reference Sans Serif" w:hAnsi="MS Reference Sans Serif"/>
          <w:sz w:val="22"/>
        </w:rPr>
        <w:t xml:space="preserve"> high-quality online coursework should be well designed, provide engaging interaction, and have well-prepared, resource-supported instructors (Sun &amp; Chen, 2016). The online coursework incorporated these as well as the seven features of high-quality PD proposed by Darling-Hammond and colleagues (2017). The PD was </w:t>
      </w:r>
      <w:r w:rsidRPr="00E33192">
        <w:rPr>
          <w:rFonts w:ascii="MS Reference Sans Serif" w:hAnsi="MS Reference Sans Serif"/>
          <w:i/>
          <w:sz w:val="22"/>
        </w:rPr>
        <w:t>content focused</w:t>
      </w:r>
      <w:r w:rsidRPr="00E33192">
        <w:rPr>
          <w:rFonts w:ascii="MS Reference Sans Serif" w:hAnsi="MS Reference Sans Serif"/>
          <w:sz w:val="22"/>
        </w:rPr>
        <w:t xml:space="preserve"> and </w:t>
      </w:r>
      <w:r w:rsidRPr="00E33192">
        <w:rPr>
          <w:rFonts w:ascii="MS Reference Sans Serif" w:hAnsi="MS Reference Sans Serif"/>
          <w:i/>
          <w:sz w:val="22"/>
        </w:rPr>
        <w:t>active learning</w:t>
      </w:r>
      <w:r w:rsidRPr="00E33192">
        <w:rPr>
          <w:rFonts w:ascii="MS Reference Sans Serif" w:hAnsi="MS Reference Sans Serif"/>
          <w:sz w:val="22"/>
        </w:rPr>
        <w:t xml:space="preserve"> was involved as teachers applied course content to their current classroom. </w:t>
      </w:r>
      <w:r w:rsidRPr="00E33192">
        <w:rPr>
          <w:rFonts w:ascii="MS Reference Sans Serif" w:hAnsi="MS Reference Sans Serif"/>
          <w:i/>
          <w:sz w:val="22"/>
        </w:rPr>
        <w:t>Collaboration</w:t>
      </w:r>
      <w:r w:rsidRPr="00E33192">
        <w:rPr>
          <w:rFonts w:ascii="MS Reference Sans Serif" w:hAnsi="MS Reference Sans Serif"/>
          <w:sz w:val="22"/>
        </w:rPr>
        <w:t xml:space="preserve"> was achieved through use of asynchronously recorded comments and discussion boards. </w:t>
      </w:r>
      <w:r w:rsidRPr="00E33192">
        <w:rPr>
          <w:rFonts w:ascii="MS Reference Sans Serif" w:hAnsi="MS Reference Sans Serif"/>
          <w:i/>
          <w:sz w:val="22"/>
        </w:rPr>
        <w:t>Models of effective practice</w:t>
      </w:r>
      <w:r w:rsidRPr="00E33192">
        <w:rPr>
          <w:rFonts w:ascii="MS Reference Sans Serif" w:hAnsi="MS Reference Sans Serif"/>
          <w:sz w:val="22"/>
        </w:rPr>
        <w:t xml:space="preserve"> were provided through videos and exemplar lesson plans. Instructional </w:t>
      </w:r>
      <w:r w:rsidRPr="00E33192">
        <w:rPr>
          <w:rFonts w:ascii="MS Reference Sans Serif" w:hAnsi="MS Reference Sans Serif"/>
          <w:i/>
          <w:sz w:val="22"/>
        </w:rPr>
        <w:t>coaching</w:t>
      </w:r>
      <w:r w:rsidRPr="00E33192">
        <w:rPr>
          <w:rFonts w:ascii="MS Reference Sans Serif" w:hAnsi="MS Reference Sans Serif"/>
          <w:sz w:val="22"/>
        </w:rPr>
        <w:t xml:space="preserve"> was conducted as a support for the coursework. </w:t>
      </w:r>
      <w:r w:rsidRPr="00E33192">
        <w:rPr>
          <w:rFonts w:ascii="MS Reference Sans Serif" w:hAnsi="MS Reference Sans Serif"/>
          <w:i/>
          <w:sz w:val="22"/>
        </w:rPr>
        <w:t>Reflection</w:t>
      </w:r>
      <w:r w:rsidRPr="00E33192">
        <w:rPr>
          <w:rFonts w:ascii="MS Reference Sans Serif" w:hAnsi="MS Reference Sans Serif"/>
          <w:sz w:val="22"/>
        </w:rPr>
        <w:t xml:space="preserve"> was required for the majority of the PD assignments and </w:t>
      </w:r>
      <w:r w:rsidRPr="00E33192">
        <w:rPr>
          <w:rFonts w:ascii="MS Reference Sans Serif" w:hAnsi="MS Reference Sans Serif"/>
          <w:i/>
          <w:sz w:val="22"/>
        </w:rPr>
        <w:t>feedback</w:t>
      </w:r>
      <w:r w:rsidRPr="00E33192">
        <w:rPr>
          <w:rFonts w:ascii="MS Reference Sans Serif" w:hAnsi="MS Reference Sans Serif"/>
          <w:sz w:val="22"/>
        </w:rPr>
        <w:t xml:space="preserve"> was provided by the instructors. The PD was </w:t>
      </w:r>
      <w:r w:rsidRPr="00E33192">
        <w:rPr>
          <w:rFonts w:ascii="MS Reference Sans Serif" w:hAnsi="MS Reference Sans Serif"/>
          <w:i/>
          <w:sz w:val="22"/>
        </w:rPr>
        <w:t>sustained</w:t>
      </w:r>
      <w:r w:rsidRPr="00E33192">
        <w:rPr>
          <w:rFonts w:ascii="MS Reference Sans Serif" w:hAnsi="MS Reference Sans Serif"/>
          <w:sz w:val="22"/>
        </w:rPr>
        <w:t xml:space="preserve">, as participants completed four eight-week long asynchronous online courses over the course of one academic year. </w:t>
      </w:r>
      <w:bookmarkStart w:id="5" w:name="_Hlk32396409"/>
    </w:p>
    <w:p w14:paraId="18824C19" w14:textId="77777777" w:rsidR="002D193C" w:rsidRPr="00E33192" w:rsidRDefault="002D193C" w:rsidP="002D193C">
      <w:pPr>
        <w:pStyle w:val="ListParagraph"/>
        <w:ind w:left="0"/>
        <w:jc w:val="left"/>
        <w:rPr>
          <w:rFonts w:ascii="MS Reference Sans Serif" w:hAnsi="MS Reference Sans Serif"/>
          <w:bCs/>
          <w:iCs/>
          <w:sz w:val="22"/>
        </w:rPr>
      </w:pPr>
    </w:p>
    <w:p w14:paraId="59AE2ABB" w14:textId="7DE7A888" w:rsidR="002D193C" w:rsidRDefault="002D193C" w:rsidP="002D193C">
      <w:pPr>
        <w:pStyle w:val="ListParagraph"/>
        <w:ind w:left="0"/>
        <w:jc w:val="left"/>
        <w:rPr>
          <w:rFonts w:ascii="MS Reference Sans Serif" w:hAnsi="MS Reference Sans Serif"/>
          <w:sz w:val="22"/>
        </w:rPr>
      </w:pPr>
      <w:r w:rsidRPr="00E33192">
        <w:rPr>
          <w:rFonts w:ascii="MS Reference Sans Serif" w:hAnsi="MS Reference Sans Serif"/>
          <w:sz w:val="22"/>
        </w:rPr>
        <w:t>Coaching provided an additional level of practice and guidance to reach high levels of implementation with appropriate scaffolds for content standards and students’ levels of English proficiency. Coaching has gained traction in the international education arena as a potentially beneficial aid for teachers and administrators to implement learned knowledge and skills in instruction (</w:t>
      </w:r>
      <w:proofErr w:type="spellStart"/>
      <w:r w:rsidRPr="00E33192">
        <w:rPr>
          <w:rFonts w:ascii="MS Reference Sans Serif" w:hAnsi="MS Reference Sans Serif"/>
          <w:sz w:val="22"/>
        </w:rPr>
        <w:t>Rebora</w:t>
      </w:r>
      <w:proofErr w:type="spellEnd"/>
      <w:r w:rsidRPr="00E33192">
        <w:rPr>
          <w:rFonts w:ascii="MS Reference Sans Serif" w:hAnsi="MS Reference Sans Serif"/>
          <w:sz w:val="22"/>
        </w:rPr>
        <w:t xml:space="preserve">, 2019; Van </w:t>
      </w:r>
      <w:proofErr w:type="spellStart"/>
      <w:r w:rsidRPr="00E33192">
        <w:rPr>
          <w:rFonts w:ascii="MS Reference Sans Serif" w:hAnsi="MS Reference Sans Serif"/>
          <w:sz w:val="22"/>
        </w:rPr>
        <w:t>Nieuwerburgh</w:t>
      </w:r>
      <w:proofErr w:type="spellEnd"/>
      <w:r w:rsidRPr="00E33192">
        <w:rPr>
          <w:rFonts w:ascii="MS Reference Sans Serif" w:hAnsi="MS Reference Sans Serif"/>
          <w:sz w:val="22"/>
        </w:rPr>
        <w:t xml:space="preserve">, 2012). While there is dispute over the definition, coaching usually </w:t>
      </w:r>
      <w:r w:rsidRPr="00E33192">
        <w:rPr>
          <w:rFonts w:ascii="MS Reference Sans Serif" w:hAnsi="MS Reference Sans Serif"/>
          <w:sz w:val="22"/>
        </w:rPr>
        <w:lastRenderedPageBreak/>
        <w:t>refers to helping a person improve performance or achieve goals through structured one-on-one conversations (</w:t>
      </w:r>
      <w:r w:rsidR="00A00CB5" w:rsidRPr="00E33192">
        <w:rPr>
          <w:rFonts w:ascii="MS Reference Sans Serif" w:hAnsi="MS Reference Sans Serif"/>
          <w:sz w:val="22"/>
        </w:rPr>
        <w:t xml:space="preserve">Van </w:t>
      </w:r>
      <w:proofErr w:type="spellStart"/>
      <w:r w:rsidR="00A00CB5" w:rsidRPr="00E33192">
        <w:rPr>
          <w:rFonts w:ascii="MS Reference Sans Serif" w:hAnsi="MS Reference Sans Serif"/>
          <w:sz w:val="22"/>
        </w:rPr>
        <w:t>Nieuwerburgh</w:t>
      </w:r>
      <w:proofErr w:type="spellEnd"/>
      <w:r w:rsidRPr="00E33192">
        <w:rPr>
          <w:rFonts w:ascii="MS Reference Sans Serif" w:hAnsi="MS Reference Sans Serif"/>
          <w:sz w:val="22"/>
        </w:rPr>
        <w:t xml:space="preserve">, 2012). </w:t>
      </w:r>
    </w:p>
    <w:p w14:paraId="09AA2500" w14:textId="77777777" w:rsidR="002D193C" w:rsidRPr="00E33192" w:rsidRDefault="002D193C" w:rsidP="002D193C">
      <w:pPr>
        <w:pStyle w:val="ListParagraph"/>
        <w:ind w:left="0"/>
        <w:jc w:val="left"/>
        <w:rPr>
          <w:rFonts w:ascii="MS Reference Sans Serif" w:hAnsi="MS Reference Sans Serif"/>
          <w:sz w:val="22"/>
        </w:rPr>
      </w:pPr>
    </w:p>
    <w:p w14:paraId="5F5A150A" w14:textId="4C1FC3A4" w:rsidR="002D193C" w:rsidRPr="00E33192" w:rsidRDefault="002D193C" w:rsidP="002D193C">
      <w:pPr>
        <w:pStyle w:val="ListParagraph"/>
        <w:ind w:left="0"/>
        <w:jc w:val="left"/>
        <w:rPr>
          <w:rFonts w:ascii="MS Reference Sans Serif" w:hAnsi="MS Reference Sans Serif"/>
          <w:sz w:val="22"/>
        </w:rPr>
      </w:pPr>
      <w:r w:rsidRPr="00E33192">
        <w:rPr>
          <w:rFonts w:ascii="MS Reference Sans Serif" w:hAnsi="MS Reference Sans Serif"/>
          <w:sz w:val="22"/>
        </w:rPr>
        <w:t>This study employed instructional coaching (Knight, 2007).</w:t>
      </w:r>
      <w:r w:rsidR="00316D42">
        <w:rPr>
          <w:rFonts w:ascii="MS Reference Sans Serif" w:hAnsi="MS Reference Sans Serif"/>
          <w:sz w:val="22"/>
        </w:rPr>
        <w:t xml:space="preserve"> </w:t>
      </w:r>
      <w:r w:rsidRPr="00E33192">
        <w:rPr>
          <w:rFonts w:ascii="MS Reference Sans Serif" w:hAnsi="MS Reference Sans Serif"/>
          <w:sz w:val="22"/>
        </w:rPr>
        <w:t xml:space="preserve">Instructional coaching is based on implementing a partnership approach to analyze current reality, set goals, implement new strategies, and provide support until the goals are met (Knight, 2018). There is research support for instructional coaching as an effective tool for teachers’ practice and student achievement outcomes (Knight et al., 2018) in terms of increasing teachers’ use of a new practice (Cornett &amp; Knight, 2009; </w:t>
      </w:r>
      <w:proofErr w:type="spellStart"/>
      <w:r w:rsidRPr="00E33192">
        <w:rPr>
          <w:rFonts w:ascii="MS Reference Sans Serif" w:hAnsi="MS Reference Sans Serif"/>
          <w:sz w:val="22"/>
        </w:rPr>
        <w:t>Teemant</w:t>
      </w:r>
      <w:proofErr w:type="spellEnd"/>
      <w:r w:rsidRPr="00E33192">
        <w:rPr>
          <w:rFonts w:ascii="MS Reference Sans Serif" w:hAnsi="MS Reference Sans Serif"/>
          <w:sz w:val="22"/>
        </w:rPr>
        <w:t xml:space="preserve"> et al., 2011), implementing visible learning (Knight, 2019), and implementing principles of learning for diverse students (Teemant, 2014). Furthermore, a meta-analysis of 60 studies of teacher coaching programs within the U.S. and other countries found large positive effects of coaching on teachers’ instructional practice and a positive effect on student achievement (Kraft et al., 2018). Kraft and colleagues (2018) advocated for web-based, virtual coaching to decrease cost and time constraints while increasing teacher-coach contact, suggesting there is an opportunity for coaching to be applied within an online course structure.</w:t>
      </w:r>
    </w:p>
    <w:p w14:paraId="1DE608A3" w14:textId="77777777" w:rsidR="002D193C" w:rsidRPr="00E33192" w:rsidRDefault="002D193C" w:rsidP="002D193C">
      <w:pPr>
        <w:pStyle w:val="ListParagraph"/>
        <w:ind w:left="0"/>
        <w:jc w:val="left"/>
        <w:rPr>
          <w:rFonts w:ascii="MS Reference Sans Serif" w:hAnsi="MS Reference Sans Serif"/>
          <w:sz w:val="22"/>
        </w:rPr>
      </w:pPr>
    </w:p>
    <w:p w14:paraId="1CE60D30" w14:textId="358B74D2" w:rsidR="002D193C" w:rsidRPr="00E33192" w:rsidRDefault="002D193C" w:rsidP="002D193C">
      <w:pPr>
        <w:pStyle w:val="ListParagraph"/>
        <w:ind w:left="0"/>
        <w:jc w:val="left"/>
        <w:rPr>
          <w:rFonts w:ascii="MS Reference Sans Serif" w:hAnsi="MS Reference Sans Serif"/>
          <w:sz w:val="22"/>
        </w:rPr>
      </w:pPr>
      <w:r w:rsidRPr="00E33192">
        <w:rPr>
          <w:rFonts w:ascii="MS Reference Sans Serif" w:hAnsi="MS Reference Sans Serif"/>
          <w:sz w:val="22"/>
        </w:rPr>
        <w:t>Within the online courses in this study, in</w:t>
      </w:r>
      <w:r w:rsidR="00D670DE">
        <w:rPr>
          <w:rFonts w:ascii="MS Reference Sans Serif" w:hAnsi="MS Reference Sans Serif"/>
          <w:sz w:val="22"/>
        </w:rPr>
        <w:t>-</w:t>
      </w:r>
      <w:r w:rsidRPr="00E33192">
        <w:rPr>
          <w:rFonts w:ascii="MS Reference Sans Serif" w:hAnsi="MS Reference Sans Serif"/>
          <w:sz w:val="22"/>
        </w:rPr>
        <w:t xml:space="preserve">service teacher participants met with an instructional coach in a dialogical approach to work towards a culturally responsive goal correlated to an </w:t>
      </w:r>
      <w:r w:rsidR="006D555A">
        <w:rPr>
          <w:rFonts w:ascii="MS Reference Sans Serif" w:hAnsi="MS Reference Sans Serif"/>
          <w:sz w:val="22"/>
        </w:rPr>
        <w:t>ISCRT</w:t>
      </w:r>
      <w:r w:rsidRPr="00E33192">
        <w:rPr>
          <w:rFonts w:ascii="MS Reference Sans Serif" w:hAnsi="MS Reference Sans Serif"/>
          <w:sz w:val="22"/>
        </w:rPr>
        <w:t xml:space="preserve"> indicator.</w:t>
      </w:r>
      <w:r w:rsidR="00316D42">
        <w:rPr>
          <w:rFonts w:ascii="MS Reference Sans Serif" w:hAnsi="MS Reference Sans Serif"/>
          <w:sz w:val="22"/>
        </w:rPr>
        <w:t xml:space="preserve"> </w:t>
      </w:r>
      <w:r w:rsidRPr="00E33192">
        <w:rPr>
          <w:rFonts w:ascii="MS Reference Sans Serif" w:hAnsi="MS Reference Sans Serif"/>
          <w:sz w:val="22"/>
        </w:rPr>
        <w:t>Participants met with coaches face-to-face or virtually for one to three coaching sessions. The online coursework incorporated video, observation, and self-reflection to support instructional coaching. Additional communication between coaches and participants occurred in a semi-structured way through follow-up emails and phone calls.</w:t>
      </w:r>
    </w:p>
    <w:p w14:paraId="4094B837" w14:textId="77777777" w:rsidR="002D193C" w:rsidRPr="00E33192" w:rsidRDefault="002D193C" w:rsidP="002D193C">
      <w:pPr>
        <w:pStyle w:val="ListParagraph"/>
        <w:ind w:left="0"/>
        <w:jc w:val="left"/>
        <w:rPr>
          <w:rFonts w:ascii="MS Reference Sans Serif" w:hAnsi="MS Reference Sans Serif"/>
          <w:sz w:val="22"/>
        </w:rPr>
      </w:pPr>
    </w:p>
    <w:p w14:paraId="246BDE4A" w14:textId="77777777" w:rsidR="002D193C" w:rsidRDefault="002D193C" w:rsidP="002D193C">
      <w:pPr>
        <w:pStyle w:val="ListParagraph"/>
        <w:ind w:left="0"/>
        <w:jc w:val="left"/>
        <w:rPr>
          <w:rFonts w:ascii="MS Reference Sans Serif" w:hAnsi="MS Reference Sans Serif"/>
          <w:sz w:val="22"/>
        </w:rPr>
      </w:pPr>
      <w:r w:rsidRPr="00E33192">
        <w:rPr>
          <w:rFonts w:ascii="MS Reference Sans Serif" w:hAnsi="MS Reference Sans Serif"/>
          <w:sz w:val="22"/>
        </w:rPr>
        <w:t xml:space="preserve">A brief, illustrative example of one teacher’s work in coaching sessions shows how instructional coaching allowed course instructors and participants to collaboratively mediate course material. Based on an initial observation and a coaching conversation a pre-kindergarten teacher selected </w:t>
      </w:r>
      <w:r w:rsidRPr="00E33192">
        <w:rPr>
          <w:rFonts w:ascii="MS Reference Sans Serif" w:hAnsi="MS Reference Sans Serif"/>
          <w:i/>
          <w:iCs/>
          <w:sz w:val="22"/>
        </w:rPr>
        <w:t>incorporating descriptive language into math</w:t>
      </w:r>
      <w:r w:rsidRPr="00E33192">
        <w:rPr>
          <w:rFonts w:ascii="MS Reference Sans Serif" w:hAnsi="MS Reference Sans Serif"/>
          <w:sz w:val="22"/>
        </w:rPr>
        <w:t xml:space="preserve">, targeting the use of comparative adjectives. She created visual representations, found real objects that represented these terms, and used books in the classroom to reinforce these concepts. Through continued conversations and additional coaching sessions, the teacher reflected that students were in progress to achieving proficiency of these comparative words. Instructional coaching allowed this teacher to apply the language acquisition process into the specific context of a pre-kindergarten classroom. </w:t>
      </w:r>
      <w:bookmarkEnd w:id="5"/>
    </w:p>
    <w:p w14:paraId="593B7B39" w14:textId="77777777" w:rsidR="002D193C" w:rsidRDefault="002D193C" w:rsidP="002D193C">
      <w:pPr>
        <w:pStyle w:val="ListParagraph"/>
        <w:ind w:left="0"/>
        <w:jc w:val="left"/>
        <w:rPr>
          <w:rFonts w:ascii="MS Reference Sans Serif" w:hAnsi="MS Reference Sans Serif"/>
          <w:sz w:val="22"/>
        </w:rPr>
      </w:pPr>
    </w:p>
    <w:p w14:paraId="59F31857" w14:textId="77777777" w:rsidR="002D193C" w:rsidRPr="00474D32" w:rsidRDefault="002D193C" w:rsidP="00D670DE">
      <w:pPr>
        <w:pStyle w:val="ListParagraph"/>
        <w:ind w:left="0"/>
        <w:rPr>
          <w:rFonts w:ascii="MS Reference Sans Serif" w:hAnsi="MS Reference Sans Serif"/>
          <w:b/>
          <w:bCs/>
          <w:sz w:val="22"/>
        </w:rPr>
      </w:pPr>
      <w:r w:rsidRPr="00474D32">
        <w:rPr>
          <w:rFonts w:ascii="MS Reference Sans Serif" w:hAnsi="MS Reference Sans Serif"/>
          <w:b/>
          <w:bCs/>
          <w:sz w:val="22"/>
        </w:rPr>
        <w:t>Methods</w:t>
      </w:r>
    </w:p>
    <w:p w14:paraId="5DF9AB41" w14:textId="77777777" w:rsidR="002D193C" w:rsidRPr="00474D32" w:rsidRDefault="002D193C" w:rsidP="002D193C">
      <w:pPr>
        <w:jc w:val="left"/>
      </w:pPr>
    </w:p>
    <w:p w14:paraId="4E2BBACC" w14:textId="77777777" w:rsidR="002D193C" w:rsidRPr="00D670DE" w:rsidRDefault="002D193C" w:rsidP="002D193C">
      <w:pPr>
        <w:pStyle w:val="Heading2"/>
        <w:jc w:val="left"/>
        <w:rPr>
          <w:rFonts w:ascii="MS Reference Sans Serif" w:hAnsi="MS Reference Sans Serif"/>
          <w:b/>
          <w:bCs/>
          <w:i/>
          <w:color w:val="auto"/>
          <w:sz w:val="22"/>
          <w:szCs w:val="22"/>
        </w:rPr>
      </w:pPr>
      <w:r w:rsidRPr="00D670DE">
        <w:rPr>
          <w:rFonts w:ascii="MS Reference Sans Serif" w:hAnsi="MS Reference Sans Serif"/>
          <w:b/>
          <w:bCs/>
          <w:color w:val="auto"/>
          <w:sz w:val="22"/>
          <w:szCs w:val="22"/>
        </w:rPr>
        <w:t>Data Collection and Analysis</w:t>
      </w:r>
    </w:p>
    <w:p w14:paraId="7EAA0A4F" w14:textId="77777777" w:rsidR="002D193C" w:rsidRDefault="002D193C" w:rsidP="002D193C">
      <w:pPr>
        <w:contextualSpacing/>
        <w:jc w:val="left"/>
        <w:rPr>
          <w:rFonts w:ascii="MS Reference Sans Serif" w:hAnsi="MS Reference Sans Serif"/>
          <w:sz w:val="22"/>
        </w:rPr>
      </w:pPr>
    </w:p>
    <w:p w14:paraId="5C5A6F9C" w14:textId="027E7464" w:rsidR="002D193C" w:rsidRPr="00E33192" w:rsidRDefault="002D193C" w:rsidP="002D193C">
      <w:pPr>
        <w:contextualSpacing/>
        <w:jc w:val="left"/>
        <w:rPr>
          <w:rFonts w:ascii="MS Reference Sans Serif" w:hAnsi="MS Reference Sans Serif"/>
          <w:color w:val="000000"/>
          <w:sz w:val="22"/>
        </w:rPr>
      </w:pPr>
      <w:r w:rsidRPr="00E33192">
        <w:rPr>
          <w:rFonts w:ascii="MS Reference Sans Serif" w:hAnsi="MS Reference Sans Serif"/>
          <w:sz w:val="22"/>
        </w:rPr>
        <w:t xml:space="preserve">Twenty-three </w:t>
      </w:r>
      <w:r w:rsidR="00D670DE" w:rsidRPr="00E33192">
        <w:rPr>
          <w:rFonts w:ascii="MS Reference Sans Serif" w:hAnsi="MS Reference Sans Serif"/>
          <w:sz w:val="22"/>
        </w:rPr>
        <w:t>in-service</w:t>
      </w:r>
      <w:r w:rsidRPr="00E33192">
        <w:rPr>
          <w:rFonts w:ascii="MS Reference Sans Serif" w:hAnsi="MS Reference Sans Serif"/>
          <w:sz w:val="22"/>
        </w:rPr>
        <w:t xml:space="preserve"> teachers from seven different school districts in a southeastern state took part in this study. These PK-12 grade teachers self-selected to enroll in the CRT coursework, coaching, and research. Verbal and written consent to participate in the study was obtained from each teacher. Most participants were female (22/23, 96%). Of the 14 participants who identified race, 79% identified as White, 7% identified as Hispanic/Latina, 7% identified as </w:t>
      </w:r>
      <w:r w:rsidR="00EA4239">
        <w:rPr>
          <w:rFonts w:ascii="MS Reference Sans Serif" w:hAnsi="MS Reference Sans Serif"/>
          <w:sz w:val="22"/>
        </w:rPr>
        <w:t>t</w:t>
      </w:r>
      <w:r w:rsidRPr="00E33192">
        <w:rPr>
          <w:rFonts w:ascii="MS Reference Sans Serif" w:hAnsi="MS Reference Sans Serif"/>
          <w:sz w:val="22"/>
        </w:rPr>
        <w:t xml:space="preserve">wo or more races, and </w:t>
      </w:r>
      <w:r w:rsidRPr="00E33192">
        <w:rPr>
          <w:rFonts w:ascii="MS Reference Sans Serif" w:hAnsi="MS Reference Sans Serif"/>
          <w:sz w:val="22"/>
        </w:rPr>
        <w:lastRenderedPageBreak/>
        <w:t>7% identified as Native American, American Indian, or Alaskan Native. Regarding years of teaching experience, more participants fell in the 0</w:t>
      </w:r>
      <w:r w:rsidR="00EC25EF">
        <w:rPr>
          <w:rFonts w:ascii="MS Reference Sans Serif" w:hAnsi="MS Reference Sans Serif"/>
          <w:sz w:val="22"/>
        </w:rPr>
        <w:t>–</w:t>
      </w:r>
      <w:r w:rsidRPr="00E33192">
        <w:rPr>
          <w:rFonts w:ascii="MS Reference Sans Serif" w:hAnsi="MS Reference Sans Serif"/>
          <w:sz w:val="22"/>
        </w:rPr>
        <w:t>9 year range of experience (78%)</w:t>
      </w:r>
      <w:r w:rsidR="00DE57BF">
        <w:rPr>
          <w:rFonts w:ascii="MS Reference Sans Serif" w:hAnsi="MS Reference Sans Serif"/>
          <w:sz w:val="22"/>
        </w:rPr>
        <w:t>,</w:t>
      </w:r>
      <w:r w:rsidRPr="00E33192">
        <w:rPr>
          <w:rFonts w:ascii="MS Reference Sans Serif" w:hAnsi="MS Reference Sans Serif"/>
          <w:sz w:val="22"/>
        </w:rPr>
        <w:t xml:space="preserve"> and fewer participants (22%) fell into the 10</w:t>
      </w:r>
      <w:r w:rsidR="00EC25EF">
        <w:rPr>
          <w:rFonts w:ascii="MS Reference Sans Serif" w:hAnsi="MS Reference Sans Serif"/>
          <w:sz w:val="22"/>
        </w:rPr>
        <w:t>–</w:t>
      </w:r>
      <w:r w:rsidRPr="00E33192">
        <w:rPr>
          <w:rFonts w:ascii="MS Reference Sans Serif" w:hAnsi="MS Reference Sans Serif"/>
          <w:sz w:val="22"/>
        </w:rPr>
        <w:t xml:space="preserve">20 year range. </w:t>
      </w:r>
      <w:r w:rsidRPr="00E33192">
        <w:rPr>
          <w:rFonts w:ascii="MS Reference Sans Serif" w:hAnsi="MS Reference Sans Serif"/>
          <w:color w:val="000000"/>
          <w:sz w:val="22"/>
        </w:rPr>
        <w:t>These teachers work in a state with a 24.7% rate of poverty for children under 18 years old (American Community Survey, 2018). During the study, the majority of teachers (96%) worked in the northwest region where the majority of ELs living in the state attend school (Office of Education Policy, 2019).</w:t>
      </w:r>
      <w:r w:rsidR="00316D42">
        <w:rPr>
          <w:rFonts w:ascii="MS Reference Sans Serif" w:hAnsi="MS Reference Sans Serif"/>
          <w:color w:val="000000"/>
          <w:sz w:val="22"/>
        </w:rPr>
        <w:t xml:space="preserve"> </w:t>
      </w:r>
    </w:p>
    <w:p w14:paraId="147897B4" w14:textId="77777777" w:rsidR="002D193C" w:rsidRPr="00E33192" w:rsidRDefault="002D193C" w:rsidP="002D193C">
      <w:pPr>
        <w:contextualSpacing/>
        <w:jc w:val="left"/>
        <w:rPr>
          <w:rFonts w:ascii="MS Reference Sans Serif" w:hAnsi="MS Reference Sans Serif"/>
          <w:color w:val="000000"/>
          <w:sz w:val="22"/>
        </w:rPr>
      </w:pPr>
    </w:p>
    <w:p w14:paraId="71609AAC" w14:textId="77777777" w:rsidR="002D193C" w:rsidRPr="00E33192" w:rsidRDefault="002D193C" w:rsidP="002D193C">
      <w:pPr>
        <w:contextualSpacing/>
        <w:jc w:val="left"/>
        <w:rPr>
          <w:rFonts w:ascii="MS Reference Sans Serif" w:hAnsi="MS Reference Sans Serif"/>
          <w:color w:val="000000"/>
          <w:sz w:val="22"/>
        </w:rPr>
      </w:pPr>
      <w:r w:rsidRPr="00E33192">
        <w:rPr>
          <w:rFonts w:ascii="MS Reference Sans Serif" w:hAnsi="MS Reference Sans Serif"/>
          <w:color w:val="000000"/>
          <w:sz w:val="22"/>
        </w:rPr>
        <w:t>This pilot study implemented a nonequivalent group, pretest-posttest design (Gribbons &amp; Herman, 1997; Patten, 2000).</w:t>
      </w:r>
      <w:r w:rsidRPr="00E33192">
        <w:rPr>
          <w:rFonts w:ascii="MS Reference Sans Serif" w:hAnsi="MS Reference Sans Serif"/>
          <w:sz w:val="22"/>
        </w:rPr>
        <w:t xml:space="preserve"> </w:t>
      </w:r>
      <w:r w:rsidRPr="00E33192">
        <w:rPr>
          <w:rFonts w:ascii="MS Reference Sans Serif" w:hAnsi="MS Reference Sans Serif"/>
          <w:color w:val="000000"/>
          <w:sz w:val="22"/>
        </w:rPr>
        <w:t xml:space="preserve">The participants described above, who voluntarily enrolled in coursework and coaching, were defined as the treatment group. Program directors and research associates served as coaches. Coaches were paired with treatment teachers based on </w:t>
      </w:r>
      <w:r>
        <w:rPr>
          <w:rFonts w:ascii="MS Reference Sans Serif" w:hAnsi="MS Reference Sans Serif"/>
          <w:color w:val="000000"/>
          <w:sz w:val="22"/>
        </w:rPr>
        <w:t xml:space="preserve">the </w:t>
      </w:r>
      <w:r w:rsidRPr="00E33192">
        <w:rPr>
          <w:rFonts w:ascii="MS Reference Sans Serif" w:hAnsi="MS Reference Sans Serif"/>
          <w:color w:val="000000"/>
          <w:sz w:val="22"/>
        </w:rPr>
        <w:t xml:space="preserve">subject area </w:t>
      </w:r>
      <w:r>
        <w:rPr>
          <w:rFonts w:ascii="MS Reference Sans Serif" w:hAnsi="MS Reference Sans Serif"/>
          <w:color w:val="000000"/>
          <w:sz w:val="22"/>
        </w:rPr>
        <w:t xml:space="preserve">in which a </w:t>
      </w:r>
      <w:r w:rsidRPr="00E33192">
        <w:rPr>
          <w:rFonts w:ascii="MS Reference Sans Serif" w:hAnsi="MS Reference Sans Serif"/>
          <w:color w:val="000000"/>
          <w:sz w:val="22"/>
        </w:rPr>
        <w:t>treatment teacher was being coached. All treatment teachers were coached.</w:t>
      </w:r>
    </w:p>
    <w:p w14:paraId="221AA0DD" w14:textId="77777777" w:rsidR="002D193C" w:rsidRPr="00E33192" w:rsidRDefault="002D193C" w:rsidP="002D193C">
      <w:pPr>
        <w:contextualSpacing/>
        <w:jc w:val="left"/>
        <w:rPr>
          <w:rFonts w:ascii="MS Reference Sans Serif" w:hAnsi="MS Reference Sans Serif"/>
          <w:color w:val="000000"/>
          <w:sz w:val="22"/>
        </w:rPr>
      </w:pPr>
    </w:p>
    <w:p w14:paraId="7299F2CF" w14:textId="3007D9D8" w:rsidR="002D193C" w:rsidRPr="00E33192" w:rsidRDefault="002D193C" w:rsidP="002D193C">
      <w:pPr>
        <w:contextualSpacing/>
        <w:jc w:val="left"/>
        <w:rPr>
          <w:rFonts w:ascii="MS Reference Sans Serif" w:hAnsi="MS Reference Sans Serif"/>
          <w:color w:val="000000"/>
          <w:sz w:val="22"/>
        </w:rPr>
      </w:pPr>
      <w:r w:rsidRPr="00E33192">
        <w:rPr>
          <w:rFonts w:ascii="MS Reference Sans Serif" w:hAnsi="MS Reference Sans Serif"/>
          <w:color w:val="000000"/>
          <w:sz w:val="22"/>
        </w:rPr>
        <w:t>To establish the control group, each treatment teacher was asked to identify a control teacher who met the following criteria: (a) employed by the same district, (b) taught at the same grade level and/or subject, (c) did not have an ESL endorsement, and (d) had a classroom with similar student demographics.</w:t>
      </w:r>
      <w:r w:rsidR="00316D42">
        <w:rPr>
          <w:rFonts w:ascii="MS Reference Sans Serif" w:hAnsi="MS Reference Sans Serif"/>
          <w:color w:val="000000"/>
          <w:sz w:val="22"/>
        </w:rPr>
        <w:t xml:space="preserve"> </w:t>
      </w:r>
    </w:p>
    <w:p w14:paraId="1704D5B4" w14:textId="77777777" w:rsidR="002D193C" w:rsidRPr="00E33192" w:rsidRDefault="002D193C" w:rsidP="002D193C">
      <w:pPr>
        <w:contextualSpacing/>
        <w:jc w:val="left"/>
        <w:rPr>
          <w:rFonts w:ascii="MS Reference Sans Serif" w:hAnsi="MS Reference Sans Serif"/>
          <w:color w:val="000000"/>
          <w:sz w:val="22"/>
        </w:rPr>
      </w:pPr>
    </w:p>
    <w:p w14:paraId="2F872073" w14:textId="0CAEC3F0" w:rsidR="002D193C" w:rsidRPr="00E33192" w:rsidRDefault="002D193C" w:rsidP="002D193C">
      <w:pPr>
        <w:contextualSpacing/>
        <w:jc w:val="left"/>
        <w:rPr>
          <w:rFonts w:ascii="MS Reference Sans Serif" w:hAnsi="MS Reference Sans Serif"/>
          <w:color w:val="000000"/>
          <w:sz w:val="22"/>
        </w:rPr>
      </w:pPr>
      <w:r w:rsidRPr="00E33192">
        <w:rPr>
          <w:rFonts w:ascii="MS Reference Sans Serif" w:hAnsi="MS Reference Sans Serif"/>
          <w:color w:val="000000"/>
          <w:sz w:val="22"/>
        </w:rPr>
        <w:t xml:space="preserve">Treatment and control teachers were observed twice using the </w:t>
      </w:r>
      <w:r w:rsidR="006D555A">
        <w:rPr>
          <w:rFonts w:ascii="MS Reference Sans Serif" w:hAnsi="MS Reference Sans Serif"/>
          <w:color w:val="000000"/>
          <w:sz w:val="22"/>
        </w:rPr>
        <w:t>ISCRT</w:t>
      </w:r>
      <w:r w:rsidRPr="00E33192">
        <w:rPr>
          <w:rFonts w:ascii="MS Reference Sans Serif" w:hAnsi="MS Reference Sans Serif"/>
          <w:color w:val="000000"/>
          <w:sz w:val="22"/>
        </w:rPr>
        <w:t xml:space="preserve"> (</w:t>
      </w:r>
      <w:r w:rsidRPr="00E33192">
        <w:rPr>
          <w:rFonts w:ascii="MS Reference Sans Serif" w:hAnsi="MS Reference Sans Serif"/>
          <w:sz w:val="22"/>
        </w:rPr>
        <w:t xml:space="preserve">Herrera &amp; </w:t>
      </w:r>
      <w:proofErr w:type="spellStart"/>
      <w:r w:rsidRPr="00E33192">
        <w:rPr>
          <w:rFonts w:ascii="MS Reference Sans Serif" w:hAnsi="MS Reference Sans Serif"/>
          <w:sz w:val="22"/>
        </w:rPr>
        <w:t>Kavimandan</w:t>
      </w:r>
      <w:proofErr w:type="spellEnd"/>
      <w:r w:rsidRPr="00E33192">
        <w:rPr>
          <w:rFonts w:ascii="MS Reference Sans Serif" w:hAnsi="MS Reference Sans Serif"/>
          <w:sz w:val="22"/>
        </w:rPr>
        <w:t>, 2019)</w:t>
      </w:r>
      <w:r w:rsidRPr="00E33192">
        <w:rPr>
          <w:rFonts w:ascii="MS Reference Sans Serif" w:hAnsi="MS Reference Sans Serif"/>
          <w:color w:val="000000"/>
          <w:sz w:val="22"/>
        </w:rPr>
        <w:t>, allowing for a thorough comparison of teachers’ level of enactment of CRT practices before and after the treatment teachers received coursework and coaching. The first observation occurred within the first three weeks of the start of coursework (Fall 2018) to determine a baseline for comparison. Similarly, the second observation occurred within the last three weeks of the treatment teachers completing the coursework (Spring 2019).</w:t>
      </w:r>
      <w:r w:rsidRPr="00E33192">
        <w:rPr>
          <w:rFonts w:ascii="MS Reference Sans Serif" w:hAnsi="MS Reference Sans Serif"/>
          <w:sz w:val="22"/>
        </w:rPr>
        <w:t xml:space="preserve"> The </w:t>
      </w:r>
      <w:r w:rsidR="006D555A">
        <w:rPr>
          <w:rFonts w:ascii="MS Reference Sans Serif" w:hAnsi="MS Reference Sans Serif"/>
          <w:sz w:val="22"/>
        </w:rPr>
        <w:t>ISCRT</w:t>
      </w:r>
      <w:r w:rsidRPr="00E33192">
        <w:rPr>
          <w:rFonts w:ascii="MS Reference Sans Serif" w:hAnsi="MS Reference Sans Serif"/>
          <w:sz w:val="22"/>
        </w:rPr>
        <w:t xml:space="preserve"> is a valid, reliable measure of teachers’ culturally responsive teaching practices (Herrera et al., 2011; </w:t>
      </w:r>
      <w:r w:rsidR="002A59DE" w:rsidRPr="002A59DE">
        <w:rPr>
          <w:rFonts w:ascii="MS Reference Sans Serif" w:hAnsi="MS Reference Sans Serif"/>
          <w:color w:val="000000" w:themeColor="text1"/>
          <w:sz w:val="22"/>
        </w:rPr>
        <w:t>Penner-Williams et al.,</w:t>
      </w:r>
      <w:r w:rsidRPr="002A59DE">
        <w:rPr>
          <w:rFonts w:ascii="MS Reference Sans Serif" w:hAnsi="MS Reference Sans Serif"/>
          <w:color w:val="000000" w:themeColor="text1"/>
          <w:sz w:val="22"/>
        </w:rPr>
        <w:t xml:space="preserve"> </w:t>
      </w:r>
      <w:r w:rsidRPr="00E33192">
        <w:rPr>
          <w:rFonts w:ascii="MS Reference Sans Serif" w:hAnsi="MS Reference Sans Serif"/>
          <w:sz w:val="22"/>
        </w:rPr>
        <w:t xml:space="preserve">2019). </w:t>
      </w:r>
      <w:r w:rsidRPr="00E33192">
        <w:rPr>
          <w:rFonts w:ascii="MS Reference Sans Serif" w:hAnsi="MS Reference Sans Serif"/>
          <w:color w:val="000000"/>
          <w:sz w:val="22"/>
        </w:rPr>
        <w:t xml:space="preserve">Additional observations for coaching conversations occurred between the two scored observations. </w:t>
      </w:r>
    </w:p>
    <w:p w14:paraId="6DF4AF3F" w14:textId="77777777" w:rsidR="002D193C" w:rsidRPr="00E33192" w:rsidRDefault="002D193C" w:rsidP="002D193C">
      <w:pPr>
        <w:contextualSpacing/>
        <w:jc w:val="left"/>
        <w:rPr>
          <w:rFonts w:ascii="MS Reference Sans Serif" w:hAnsi="MS Reference Sans Serif"/>
          <w:sz w:val="22"/>
        </w:rPr>
      </w:pPr>
    </w:p>
    <w:p w14:paraId="5EF3EB10" w14:textId="1D8B5D87"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The </w:t>
      </w:r>
      <w:r w:rsidR="006D555A">
        <w:rPr>
          <w:rFonts w:ascii="MS Reference Sans Serif" w:hAnsi="MS Reference Sans Serif"/>
          <w:sz w:val="22"/>
        </w:rPr>
        <w:t>ISCRT</w:t>
      </w:r>
      <w:r w:rsidRPr="00E33192">
        <w:rPr>
          <w:rFonts w:ascii="MS Reference Sans Serif" w:hAnsi="MS Reference Sans Serif"/>
          <w:sz w:val="22"/>
        </w:rPr>
        <w:t xml:space="preserve"> includes 22 observable indicators categorized under </w:t>
      </w:r>
      <w:r w:rsidR="00B81D28">
        <w:rPr>
          <w:rFonts w:ascii="MS Reference Sans Serif" w:hAnsi="MS Reference Sans Serif"/>
          <w:sz w:val="22"/>
        </w:rPr>
        <w:t>five</w:t>
      </w:r>
      <w:r w:rsidRPr="00E33192">
        <w:rPr>
          <w:rFonts w:ascii="MS Reference Sans Serif" w:hAnsi="MS Reference Sans Serif"/>
          <w:sz w:val="22"/>
        </w:rPr>
        <w:t xml:space="preserve"> standards.</w:t>
      </w:r>
      <w:r w:rsidR="00316D42">
        <w:rPr>
          <w:rFonts w:ascii="MS Reference Sans Serif" w:hAnsi="MS Reference Sans Serif"/>
          <w:sz w:val="22"/>
        </w:rPr>
        <w:t xml:space="preserve"> </w:t>
      </w:r>
      <w:r w:rsidRPr="00E33192">
        <w:rPr>
          <w:rFonts w:ascii="MS Reference Sans Serif" w:hAnsi="MS Reference Sans Serif"/>
          <w:sz w:val="22"/>
        </w:rPr>
        <w:t>The trained observers rated teacher performance on each of the 22 indicators using a scale of zero to four.</w:t>
      </w:r>
      <w:r w:rsidR="00316D42">
        <w:rPr>
          <w:rFonts w:ascii="MS Reference Sans Serif" w:hAnsi="MS Reference Sans Serif"/>
          <w:sz w:val="22"/>
        </w:rPr>
        <w:t xml:space="preserve"> </w:t>
      </w:r>
      <w:r w:rsidRPr="00E33192">
        <w:rPr>
          <w:rFonts w:ascii="MS Reference Sans Serif" w:hAnsi="MS Reference Sans Serif"/>
          <w:sz w:val="22"/>
        </w:rPr>
        <w:t>A score of zero suggests the indicator was not observed, while four indicates the teacher integrated the instructional practice throughout the lesson. The scores were then averaged together based on their associated standard. Additionally, a quantitative composite score for each teacher was calculated by averaging all 22 indicators.</w:t>
      </w:r>
    </w:p>
    <w:p w14:paraId="4E8DA34C" w14:textId="77777777" w:rsidR="002D193C" w:rsidRPr="00E33192" w:rsidRDefault="002D193C" w:rsidP="002D193C">
      <w:pPr>
        <w:contextualSpacing/>
        <w:jc w:val="left"/>
        <w:rPr>
          <w:rFonts w:ascii="MS Reference Sans Serif" w:hAnsi="MS Reference Sans Serif"/>
          <w:sz w:val="22"/>
        </w:rPr>
      </w:pPr>
    </w:p>
    <w:p w14:paraId="2ABE7653" w14:textId="5309B2F7"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Trained observers conducted both pre- and post-treatment observations in two pairs. A Cronbach's alpha analysis assessing the internal reliability of the instrument yielded a composite score alpha of 0.94. Inter-rater reliability was tested using a single-rating, absolute-agreement, two-way random-effects intra-class correlation coefficient for each pair. For one pair</w:t>
      </w:r>
      <w:r w:rsidR="005E501F">
        <w:rPr>
          <w:rFonts w:ascii="MS Reference Sans Serif" w:hAnsi="MS Reference Sans Serif"/>
          <w:sz w:val="22"/>
        </w:rPr>
        <w:t>,</w:t>
      </w:r>
      <w:r w:rsidRPr="00E33192">
        <w:rPr>
          <w:rFonts w:ascii="MS Reference Sans Serif" w:hAnsi="MS Reference Sans Serif"/>
          <w:sz w:val="22"/>
        </w:rPr>
        <w:t xml:space="preserve"> the intra-class correlation coefficient was 0.71, indicating moderate reliability. The other pair had good reliability with an intra-class correlation coefficient of 0.90. The same rater observed the same teachers for both pre- and post-observations.</w:t>
      </w:r>
    </w:p>
    <w:p w14:paraId="67CE0E37" w14:textId="77777777" w:rsidR="002D193C" w:rsidRPr="00E33192" w:rsidRDefault="002D193C" w:rsidP="002D193C">
      <w:pPr>
        <w:contextualSpacing/>
        <w:jc w:val="left"/>
        <w:rPr>
          <w:rFonts w:ascii="MS Reference Sans Serif" w:hAnsi="MS Reference Sans Serif"/>
          <w:sz w:val="22"/>
        </w:rPr>
      </w:pPr>
    </w:p>
    <w:p w14:paraId="6704396E" w14:textId="5742F3BD" w:rsidR="002D193C" w:rsidRPr="00E33192" w:rsidRDefault="002D193C" w:rsidP="002D193C">
      <w:pPr>
        <w:contextualSpacing/>
        <w:jc w:val="left"/>
        <w:rPr>
          <w:rFonts w:ascii="MS Reference Sans Serif" w:hAnsi="MS Reference Sans Serif"/>
          <w:color w:val="000000"/>
          <w:sz w:val="22"/>
        </w:rPr>
      </w:pPr>
      <w:r w:rsidRPr="00E33192">
        <w:rPr>
          <w:rFonts w:ascii="MS Reference Sans Serif" w:hAnsi="MS Reference Sans Serif"/>
          <w:color w:val="000000"/>
          <w:sz w:val="22"/>
        </w:rPr>
        <w:lastRenderedPageBreak/>
        <w:t xml:space="preserve">Data collected from the </w:t>
      </w:r>
      <w:r w:rsidR="006D555A">
        <w:rPr>
          <w:rFonts w:ascii="MS Reference Sans Serif" w:hAnsi="MS Reference Sans Serif"/>
          <w:color w:val="000000"/>
          <w:sz w:val="22"/>
        </w:rPr>
        <w:t>ISCRT</w:t>
      </w:r>
      <w:r w:rsidRPr="00E33192">
        <w:rPr>
          <w:rFonts w:ascii="MS Reference Sans Serif" w:hAnsi="MS Reference Sans Serif"/>
          <w:color w:val="000000"/>
          <w:sz w:val="22"/>
        </w:rPr>
        <w:t xml:space="preserve"> were analyzed using independent samples </w:t>
      </w:r>
      <w:r w:rsidRPr="00E33192">
        <w:rPr>
          <w:rFonts w:ascii="MS Reference Sans Serif" w:hAnsi="MS Reference Sans Serif"/>
          <w:i/>
          <w:color w:val="000000"/>
          <w:sz w:val="22"/>
        </w:rPr>
        <w:t>t</w:t>
      </w:r>
      <w:r w:rsidRPr="00E33192">
        <w:rPr>
          <w:rFonts w:ascii="MS Reference Sans Serif" w:hAnsi="MS Reference Sans Serif"/>
          <w:color w:val="000000"/>
          <w:sz w:val="22"/>
        </w:rPr>
        <w:t xml:space="preserve">-tests in two ways to investigate if there was an effect on treatment teachers’ CRT practices. First, treatment teachers’ scores on the five standards and composite were compared to control teachers’ scores. The purpose of this test was to examine if the treatment and control groups were statistically significantly different in their implementation of CRT before treatment. Second, pre-observation scores for the treatment and control teachers were subtracted from the post-observation scores to create a difference score. This difference score was analyzed using an independent samples </w:t>
      </w:r>
      <w:r w:rsidRPr="00E33192">
        <w:rPr>
          <w:rFonts w:ascii="MS Reference Sans Serif" w:hAnsi="MS Reference Sans Serif"/>
          <w:i/>
          <w:color w:val="000000"/>
          <w:sz w:val="22"/>
        </w:rPr>
        <w:t>t</w:t>
      </w:r>
      <w:r w:rsidRPr="00E33192">
        <w:rPr>
          <w:rFonts w:ascii="MS Reference Sans Serif" w:hAnsi="MS Reference Sans Serif"/>
          <w:color w:val="000000"/>
          <w:sz w:val="22"/>
        </w:rPr>
        <w:t>-test separated by the treatment grouping variable to determine if there were statistically significant differences between the treatment and control groups across the two trials.</w:t>
      </w:r>
    </w:p>
    <w:p w14:paraId="281C2EEB" w14:textId="77777777" w:rsidR="002D193C" w:rsidRPr="00E33192" w:rsidRDefault="002D193C" w:rsidP="002D193C">
      <w:pPr>
        <w:contextualSpacing/>
        <w:jc w:val="left"/>
        <w:rPr>
          <w:rFonts w:ascii="MS Reference Sans Serif" w:hAnsi="MS Reference Sans Serif"/>
          <w:color w:val="000000"/>
          <w:sz w:val="22"/>
        </w:rPr>
      </w:pPr>
    </w:p>
    <w:p w14:paraId="5C40ADCF" w14:textId="18BC16CA"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color w:val="000000"/>
          <w:sz w:val="22"/>
        </w:rPr>
        <w:t xml:space="preserve">In addition to the </w:t>
      </w:r>
      <w:r w:rsidR="006D555A">
        <w:rPr>
          <w:rFonts w:ascii="MS Reference Sans Serif" w:hAnsi="MS Reference Sans Serif"/>
          <w:color w:val="000000"/>
          <w:sz w:val="22"/>
        </w:rPr>
        <w:t>ISCRT</w:t>
      </w:r>
      <w:r w:rsidRPr="00E33192">
        <w:rPr>
          <w:rFonts w:ascii="MS Reference Sans Serif" w:hAnsi="MS Reference Sans Serif"/>
          <w:color w:val="000000"/>
          <w:sz w:val="22"/>
        </w:rPr>
        <w:t xml:space="preserve"> observations, treatment teachers completed surveys at the end of each course. Surveys were designed to elicit teachers’ perceptions of the effectiveness of the courses in increasing their knowledge and skills related to CRT practices and course topics. The surveys were tailored to the material covered in each course and featured one to three Likert-scale questions. The Likert scale ranged from 1-“Not Effective” to 4-“Very Effective.”</w:t>
      </w:r>
      <w:r w:rsidR="00316D42">
        <w:rPr>
          <w:rFonts w:ascii="MS Reference Sans Serif" w:hAnsi="MS Reference Sans Serif"/>
          <w:color w:val="000000"/>
          <w:sz w:val="22"/>
        </w:rPr>
        <w:t xml:space="preserve"> </w:t>
      </w:r>
      <w:r w:rsidRPr="00E33192">
        <w:rPr>
          <w:rFonts w:ascii="MS Reference Sans Serif" w:hAnsi="MS Reference Sans Serif"/>
          <w:color w:val="000000"/>
          <w:sz w:val="22"/>
        </w:rPr>
        <w:t>Treatment teachers’ responses on the questionnaire for Likert-scale questions were aggregated to obtain an overall percentage of effectiveness as reported by the participants. At the end of each survey, there was an open-ended, optional question for additional comments, and teachers responded to open-ended questions on coaching at the end of the year-long program. The anecdotal, open-response data was also collected and included to provide a more complete understanding of teachers’ ratings and their impressions of the coaching process.</w:t>
      </w:r>
    </w:p>
    <w:p w14:paraId="3858C022" w14:textId="77777777" w:rsidR="002D193C" w:rsidRPr="00E33192" w:rsidRDefault="002D193C" w:rsidP="002D193C">
      <w:pPr>
        <w:contextualSpacing/>
        <w:jc w:val="left"/>
        <w:rPr>
          <w:rFonts w:ascii="MS Reference Sans Serif" w:hAnsi="MS Reference Sans Serif"/>
          <w:color w:val="000000"/>
          <w:sz w:val="22"/>
        </w:rPr>
      </w:pPr>
    </w:p>
    <w:p w14:paraId="3FCF9B56" w14:textId="77777777" w:rsidR="002D193C" w:rsidRPr="00D670DE" w:rsidRDefault="002D193C" w:rsidP="002D193C">
      <w:pPr>
        <w:pStyle w:val="Heading2"/>
        <w:jc w:val="left"/>
        <w:rPr>
          <w:rFonts w:ascii="MS Reference Sans Serif" w:hAnsi="MS Reference Sans Serif"/>
          <w:b/>
          <w:bCs/>
          <w:i/>
          <w:color w:val="auto"/>
          <w:sz w:val="22"/>
          <w:szCs w:val="22"/>
        </w:rPr>
      </w:pPr>
      <w:r w:rsidRPr="00D670DE">
        <w:rPr>
          <w:rFonts w:ascii="MS Reference Sans Serif" w:hAnsi="MS Reference Sans Serif"/>
          <w:b/>
          <w:bCs/>
          <w:color w:val="auto"/>
          <w:sz w:val="22"/>
          <w:szCs w:val="22"/>
        </w:rPr>
        <w:t>Change in Treatment Teachers’ Culturally and Linguistically Responsive Teaching Practices</w:t>
      </w:r>
    </w:p>
    <w:p w14:paraId="1A871AEB" w14:textId="77777777" w:rsidR="002D193C" w:rsidRPr="00474D32" w:rsidRDefault="002D193C" w:rsidP="002D193C">
      <w:pPr>
        <w:jc w:val="left"/>
      </w:pPr>
    </w:p>
    <w:p w14:paraId="4C2079B2" w14:textId="68B7B9E2"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Analyses of the descriptive characteristics of the difference values on the five standards and composite score on the </w:t>
      </w:r>
      <w:r w:rsidR="006D555A">
        <w:rPr>
          <w:rFonts w:ascii="MS Reference Sans Serif" w:hAnsi="MS Reference Sans Serif"/>
          <w:sz w:val="22"/>
        </w:rPr>
        <w:t>ISCRT</w:t>
      </w:r>
      <w:r w:rsidRPr="00E33192">
        <w:rPr>
          <w:rFonts w:ascii="MS Reference Sans Serif" w:hAnsi="MS Reference Sans Serif"/>
          <w:sz w:val="22"/>
        </w:rPr>
        <w:t xml:space="preserve"> divided by group (control, treatment) revealed normal distributions (Shapiro-Wilk statistic, min. </w:t>
      </w:r>
      <w:r w:rsidRPr="00E33192">
        <w:rPr>
          <w:rFonts w:ascii="MS Reference Sans Serif" w:hAnsi="MS Reference Sans Serif"/>
          <w:i/>
          <w:sz w:val="22"/>
        </w:rPr>
        <w:t>p</w:t>
      </w:r>
      <w:r w:rsidR="00532844">
        <w:rPr>
          <w:rFonts w:ascii="MS Reference Sans Serif" w:hAnsi="MS Reference Sans Serif"/>
          <w:i/>
          <w:sz w:val="22"/>
        </w:rPr>
        <w:t xml:space="preserve"> </w:t>
      </w:r>
      <w:r w:rsidRPr="00E33192">
        <w:rPr>
          <w:rFonts w:ascii="MS Reference Sans Serif" w:hAnsi="MS Reference Sans Serif"/>
          <w:i/>
          <w:sz w:val="22"/>
        </w:rPr>
        <w:t>=</w:t>
      </w:r>
      <w:r w:rsidR="00532844">
        <w:rPr>
          <w:rFonts w:ascii="MS Reference Sans Serif" w:hAnsi="MS Reference Sans Serif"/>
          <w:i/>
          <w:sz w:val="22"/>
        </w:rPr>
        <w:t xml:space="preserve"> </w:t>
      </w:r>
      <w:r w:rsidRPr="00E33192">
        <w:rPr>
          <w:rFonts w:ascii="MS Reference Sans Serif" w:hAnsi="MS Reference Sans Serif"/>
          <w:sz w:val="22"/>
        </w:rPr>
        <w:t>0.103) with acceptable skewness (min.</w:t>
      </w:r>
      <w:r w:rsidR="00532844">
        <w:rPr>
          <w:rFonts w:ascii="MS Reference Sans Serif" w:hAnsi="MS Reference Sans Serif"/>
          <w:sz w:val="22"/>
        </w:rPr>
        <w:t xml:space="preserve"> </w:t>
      </w:r>
      <w:r w:rsidR="006B137C">
        <w:rPr>
          <w:rFonts w:ascii="MS Reference Sans Serif" w:hAnsi="MS Reference Sans Serif"/>
          <w:sz w:val="22"/>
        </w:rPr>
        <w:t>=</w:t>
      </w:r>
      <w:r w:rsidR="00532844">
        <w:rPr>
          <w:rFonts w:ascii="MS Reference Sans Serif" w:hAnsi="MS Reference Sans Serif"/>
          <w:sz w:val="22"/>
        </w:rPr>
        <w:t xml:space="preserve"> </w:t>
      </w:r>
      <w:r w:rsidRPr="00E33192">
        <w:rPr>
          <w:rFonts w:ascii="MS Reference Sans Serif" w:hAnsi="MS Reference Sans Serif"/>
          <w:sz w:val="22"/>
        </w:rPr>
        <w:t>-0.48, max.</w:t>
      </w:r>
      <w:r w:rsidR="00532844">
        <w:rPr>
          <w:rFonts w:ascii="MS Reference Sans Serif" w:hAnsi="MS Reference Sans Serif"/>
          <w:sz w:val="22"/>
        </w:rPr>
        <w:t xml:space="preserve"> </w:t>
      </w:r>
      <w:r w:rsidRPr="00E33192">
        <w:rPr>
          <w:rFonts w:ascii="MS Reference Sans Serif" w:hAnsi="MS Reference Sans Serif"/>
          <w:sz w:val="22"/>
        </w:rPr>
        <w:t>=</w:t>
      </w:r>
      <w:r w:rsidR="00532844">
        <w:rPr>
          <w:rFonts w:ascii="MS Reference Sans Serif" w:hAnsi="MS Reference Sans Serif"/>
          <w:sz w:val="22"/>
        </w:rPr>
        <w:t xml:space="preserve"> </w:t>
      </w:r>
      <w:r w:rsidRPr="00E33192">
        <w:rPr>
          <w:rFonts w:ascii="MS Reference Sans Serif" w:hAnsi="MS Reference Sans Serif"/>
          <w:sz w:val="22"/>
        </w:rPr>
        <w:t>0.71), kurtosis (min.</w:t>
      </w:r>
      <w:r w:rsidR="001F4731">
        <w:rPr>
          <w:rFonts w:ascii="MS Reference Sans Serif" w:hAnsi="MS Reference Sans Serif"/>
          <w:sz w:val="22"/>
        </w:rPr>
        <w:t xml:space="preserve"> </w:t>
      </w:r>
      <w:r w:rsidRPr="00E33192">
        <w:rPr>
          <w:rFonts w:ascii="MS Reference Sans Serif" w:hAnsi="MS Reference Sans Serif"/>
          <w:sz w:val="22"/>
        </w:rPr>
        <w:t>=</w:t>
      </w:r>
      <w:r w:rsidR="001F4731">
        <w:rPr>
          <w:rFonts w:ascii="MS Reference Sans Serif" w:hAnsi="MS Reference Sans Serif"/>
          <w:sz w:val="22"/>
        </w:rPr>
        <w:t xml:space="preserve"> </w:t>
      </w:r>
      <w:r w:rsidRPr="00E33192">
        <w:rPr>
          <w:rFonts w:ascii="MS Reference Sans Serif" w:hAnsi="MS Reference Sans Serif"/>
          <w:sz w:val="22"/>
        </w:rPr>
        <w:t>-1.09, max.</w:t>
      </w:r>
      <w:r w:rsidR="006B137C">
        <w:rPr>
          <w:rFonts w:ascii="MS Reference Sans Serif" w:hAnsi="MS Reference Sans Serif"/>
          <w:sz w:val="22"/>
        </w:rPr>
        <w:t xml:space="preserve"> = </w:t>
      </w:r>
      <w:r w:rsidRPr="00E33192">
        <w:rPr>
          <w:rFonts w:ascii="MS Reference Sans Serif" w:hAnsi="MS Reference Sans Serif"/>
          <w:sz w:val="22"/>
        </w:rPr>
        <w:t>1.76), and variability. Additional visual analyses of the histograms were also conducted. The scores in all standards and on the composite score were relatively low, but there were noticeable differences between means which were explored to determine if there was statistical significance.</w:t>
      </w:r>
      <w:bookmarkStart w:id="6" w:name="_Hlk32402328"/>
    </w:p>
    <w:p w14:paraId="14E970B7" w14:textId="77777777" w:rsidR="002D193C" w:rsidRPr="00E33192" w:rsidRDefault="002D193C" w:rsidP="002D193C">
      <w:pPr>
        <w:contextualSpacing/>
        <w:jc w:val="left"/>
        <w:rPr>
          <w:rFonts w:ascii="MS Reference Sans Serif" w:hAnsi="MS Reference Sans Serif"/>
          <w:sz w:val="22"/>
        </w:rPr>
      </w:pPr>
    </w:p>
    <w:p w14:paraId="43F831E7" w14:textId="163EA0D3" w:rsidR="002D193C"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As teacher participants were not randomly assigned to treatment and control groups, the first analysis sought to provide evidence that the two groups were essentially equivalent in levels of implemented </w:t>
      </w:r>
      <w:bookmarkEnd w:id="6"/>
      <w:r w:rsidRPr="00E33192">
        <w:rPr>
          <w:rFonts w:ascii="MS Reference Sans Serif" w:hAnsi="MS Reference Sans Serif"/>
          <w:sz w:val="22"/>
        </w:rPr>
        <w:t xml:space="preserve">CRT before the coursework with coaching began. Independent samples </w:t>
      </w:r>
      <w:r w:rsidRPr="00E33192">
        <w:rPr>
          <w:rFonts w:ascii="MS Reference Sans Serif" w:hAnsi="MS Reference Sans Serif"/>
          <w:i/>
          <w:sz w:val="22"/>
        </w:rPr>
        <w:t>t-</w:t>
      </w:r>
      <w:r w:rsidRPr="00E33192">
        <w:rPr>
          <w:rFonts w:ascii="MS Reference Sans Serif" w:hAnsi="MS Reference Sans Serif"/>
          <w:sz w:val="22"/>
        </w:rPr>
        <w:t xml:space="preserve">tests were conducted on the five standards and composite score to compare the mean scores of </w:t>
      </w:r>
      <w:proofErr w:type="gramStart"/>
      <w:r w:rsidRPr="00E33192">
        <w:rPr>
          <w:rFonts w:ascii="MS Reference Sans Serif" w:hAnsi="MS Reference Sans Serif"/>
          <w:sz w:val="22"/>
        </w:rPr>
        <w:t>treatment</w:t>
      </w:r>
      <w:proofErr w:type="gramEnd"/>
      <w:r w:rsidRPr="00E33192">
        <w:rPr>
          <w:rFonts w:ascii="MS Reference Sans Serif" w:hAnsi="MS Reference Sans Serif"/>
          <w:sz w:val="22"/>
        </w:rPr>
        <w:t xml:space="preserve"> (</w:t>
      </w:r>
      <w:r w:rsidRPr="00E33192">
        <w:rPr>
          <w:rFonts w:ascii="MS Reference Sans Serif" w:hAnsi="MS Reference Sans Serif"/>
          <w:i/>
          <w:sz w:val="22"/>
        </w:rPr>
        <w:t>N</w:t>
      </w:r>
      <w:r w:rsidR="006B137C">
        <w:rPr>
          <w:rFonts w:ascii="MS Reference Sans Serif" w:hAnsi="MS Reference Sans Serif"/>
          <w:sz w:val="22"/>
        </w:rPr>
        <w:t xml:space="preserve"> = </w:t>
      </w:r>
      <w:r w:rsidRPr="00E33192">
        <w:rPr>
          <w:rFonts w:ascii="MS Reference Sans Serif" w:hAnsi="MS Reference Sans Serif"/>
          <w:sz w:val="22"/>
        </w:rPr>
        <w:t>23) and control (</w:t>
      </w:r>
      <w:r w:rsidRPr="00E33192">
        <w:rPr>
          <w:rFonts w:ascii="MS Reference Sans Serif" w:hAnsi="MS Reference Sans Serif"/>
          <w:i/>
          <w:sz w:val="22"/>
        </w:rPr>
        <w:t>N</w:t>
      </w:r>
      <w:r w:rsidR="006B137C">
        <w:rPr>
          <w:rFonts w:ascii="MS Reference Sans Serif" w:hAnsi="MS Reference Sans Serif"/>
          <w:i/>
          <w:sz w:val="22"/>
        </w:rPr>
        <w:t xml:space="preserve"> = </w:t>
      </w:r>
      <w:r w:rsidRPr="00E33192">
        <w:rPr>
          <w:rFonts w:ascii="MS Reference Sans Serif" w:hAnsi="MS Reference Sans Serif"/>
          <w:sz w:val="22"/>
        </w:rPr>
        <w:t xml:space="preserve">23) groups on the pre-observation scores, and variability was examined using Levene’s test of homogeneity of variance. The results of the </w:t>
      </w:r>
      <w:r w:rsidRPr="00E33192">
        <w:rPr>
          <w:rFonts w:ascii="MS Reference Sans Serif" w:hAnsi="MS Reference Sans Serif"/>
          <w:i/>
          <w:sz w:val="22"/>
        </w:rPr>
        <w:t>t</w:t>
      </w:r>
      <w:r w:rsidRPr="00E33192">
        <w:rPr>
          <w:rFonts w:ascii="MS Reference Sans Serif" w:hAnsi="MS Reference Sans Serif"/>
          <w:sz w:val="22"/>
        </w:rPr>
        <w:t>-tests (Table 1) suggest the groups were not statistically significantly different in their observed levels of CRT before coursework with coaching began. The treatment and control groups also had similar variability in all standards and the composite score.</w:t>
      </w:r>
    </w:p>
    <w:p w14:paraId="3C2F2EBD" w14:textId="77777777" w:rsidR="00D670DE" w:rsidRPr="00E33192" w:rsidRDefault="00D670DE" w:rsidP="002D193C">
      <w:pPr>
        <w:contextualSpacing/>
        <w:jc w:val="left"/>
        <w:rPr>
          <w:rFonts w:ascii="MS Reference Sans Serif" w:hAnsi="MS Reference Sans Serif"/>
          <w:sz w:val="22"/>
        </w:rPr>
      </w:pP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530"/>
        <w:gridCol w:w="1530"/>
        <w:gridCol w:w="1080"/>
        <w:gridCol w:w="1800"/>
      </w:tblGrid>
      <w:tr w:rsidR="002D193C" w:rsidRPr="00E33192" w14:paraId="4EE2D90F" w14:textId="77777777" w:rsidTr="00354BEC">
        <w:trPr>
          <w:trHeight w:val="350"/>
        </w:trPr>
        <w:tc>
          <w:tcPr>
            <w:tcW w:w="9720" w:type="dxa"/>
            <w:gridSpan w:val="5"/>
            <w:tcBorders>
              <w:bottom w:val="single" w:sz="4" w:space="0" w:color="auto"/>
            </w:tcBorders>
            <w:vAlign w:val="bottom"/>
          </w:tcPr>
          <w:p w14:paraId="239F4FEC" w14:textId="77777777" w:rsidR="002D193C" w:rsidRDefault="002D193C" w:rsidP="002D193C">
            <w:pPr>
              <w:contextualSpacing/>
              <w:rPr>
                <w:rFonts w:ascii="MS Reference Sans Serif" w:hAnsi="MS Reference Sans Serif" w:cs="Times New Roman"/>
                <w:b/>
                <w:sz w:val="22"/>
                <w:szCs w:val="22"/>
              </w:rPr>
            </w:pPr>
            <w:r w:rsidRPr="00E33192">
              <w:rPr>
                <w:rFonts w:ascii="MS Reference Sans Serif" w:hAnsi="MS Reference Sans Serif" w:cs="Times New Roman"/>
                <w:b/>
                <w:sz w:val="22"/>
                <w:szCs w:val="22"/>
              </w:rPr>
              <w:t>Table 1</w:t>
            </w:r>
          </w:p>
          <w:p w14:paraId="31C9E4E1" w14:textId="77777777" w:rsidR="002D193C" w:rsidRPr="00E33192" w:rsidRDefault="002D193C" w:rsidP="002D193C">
            <w:pPr>
              <w:contextualSpacing/>
              <w:rPr>
                <w:rFonts w:ascii="MS Reference Sans Serif" w:hAnsi="MS Reference Sans Serif" w:cs="Times New Roman"/>
                <w:b/>
                <w:sz w:val="22"/>
                <w:szCs w:val="22"/>
              </w:rPr>
            </w:pPr>
          </w:p>
          <w:p w14:paraId="295E64E8" w14:textId="30259793" w:rsidR="002D193C" w:rsidRDefault="006D555A" w:rsidP="002D193C">
            <w:pPr>
              <w:contextualSpacing/>
              <w:rPr>
                <w:rFonts w:ascii="MS Reference Sans Serif" w:hAnsi="MS Reference Sans Serif" w:cs="Times New Roman"/>
                <w:i/>
                <w:sz w:val="22"/>
                <w:szCs w:val="22"/>
              </w:rPr>
            </w:pPr>
            <w:r>
              <w:rPr>
                <w:rFonts w:ascii="MS Reference Sans Serif" w:hAnsi="MS Reference Sans Serif" w:cs="Times New Roman"/>
                <w:i/>
                <w:sz w:val="22"/>
                <w:szCs w:val="22"/>
              </w:rPr>
              <w:t>ISCRT</w:t>
            </w:r>
            <w:r w:rsidR="002D193C" w:rsidRPr="00E33192">
              <w:rPr>
                <w:rFonts w:ascii="MS Reference Sans Serif" w:hAnsi="MS Reference Sans Serif" w:cs="Times New Roman"/>
                <w:i/>
                <w:sz w:val="22"/>
                <w:szCs w:val="22"/>
              </w:rPr>
              <w:t xml:space="preserve"> Standard and Composite Scores, Control and Treatment, Pre-Observation</w:t>
            </w:r>
          </w:p>
          <w:p w14:paraId="2551D19A" w14:textId="77777777" w:rsidR="002D193C" w:rsidRPr="00E33192" w:rsidRDefault="002D193C" w:rsidP="002D193C">
            <w:pPr>
              <w:contextualSpacing/>
              <w:rPr>
                <w:rFonts w:ascii="MS Reference Sans Serif" w:hAnsi="MS Reference Sans Serif" w:cs="Times New Roman"/>
                <w:i/>
                <w:sz w:val="22"/>
                <w:szCs w:val="22"/>
              </w:rPr>
            </w:pPr>
          </w:p>
        </w:tc>
      </w:tr>
      <w:tr w:rsidR="002D193C" w:rsidRPr="00E33192" w14:paraId="06DB4922" w14:textId="77777777" w:rsidTr="00354BEC">
        <w:trPr>
          <w:trHeight w:val="350"/>
        </w:trPr>
        <w:tc>
          <w:tcPr>
            <w:tcW w:w="3780" w:type="dxa"/>
            <w:tcBorders>
              <w:top w:val="single" w:sz="4" w:space="0" w:color="auto"/>
              <w:bottom w:val="single" w:sz="4" w:space="0" w:color="auto"/>
            </w:tcBorders>
            <w:vAlign w:val="bottom"/>
          </w:tcPr>
          <w:p w14:paraId="6FAE05AA"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Standard</w:t>
            </w:r>
          </w:p>
        </w:tc>
        <w:tc>
          <w:tcPr>
            <w:tcW w:w="1530" w:type="dxa"/>
            <w:tcBorders>
              <w:top w:val="single" w:sz="4" w:space="0" w:color="auto"/>
              <w:bottom w:val="single" w:sz="4" w:space="0" w:color="auto"/>
            </w:tcBorders>
            <w:vAlign w:val="bottom"/>
          </w:tcPr>
          <w:p w14:paraId="021C3636"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Control</w:t>
            </w:r>
          </w:p>
          <w:p w14:paraId="0F585504" w14:textId="24D3C343"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N</w:t>
            </w:r>
            <w:r w:rsidR="006B137C">
              <w:rPr>
                <w:rFonts w:ascii="MS Reference Sans Serif" w:hAnsi="MS Reference Sans Serif" w:cs="Times New Roman"/>
                <w:sz w:val="22"/>
                <w:szCs w:val="22"/>
              </w:rPr>
              <w:t xml:space="preserve"> = </w:t>
            </w:r>
            <w:r w:rsidRPr="00E33192">
              <w:rPr>
                <w:rFonts w:ascii="MS Reference Sans Serif" w:hAnsi="MS Reference Sans Serif" w:cs="Times New Roman"/>
                <w:sz w:val="22"/>
                <w:szCs w:val="22"/>
              </w:rPr>
              <w:t>23</w:t>
            </w:r>
          </w:p>
          <w:p w14:paraId="4AC2320D" w14:textId="77777777" w:rsidR="002D193C" w:rsidRPr="00E33192" w:rsidRDefault="002D193C" w:rsidP="002D193C">
            <w:pPr>
              <w:contextualSpacing/>
              <w:rPr>
                <w:rFonts w:ascii="MS Reference Sans Serif" w:hAnsi="MS Reference Sans Serif" w:cs="Times New Roman"/>
                <w:i/>
                <w:sz w:val="22"/>
                <w:szCs w:val="22"/>
              </w:rPr>
            </w:pPr>
            <w:r w:rsidRPr="00E33192">
              <w:rPr>
                <w:rFonts w:ascii="MS Reference Sans Serif" w:hAnsi="MS Reference Sans Serif" w:cs="Times New Roman"/>
                <w:i/>
                <w:sz w:val="22"/>
                <w:szCs w:val="22"/>
              </w:rPr>
              <w:t>M (SD)</w:t>
            </w:r>
          </w:p>
        </w:tc>
        <w:tc>
          <w:tcPr>
            <w:tcW w:w="1530" w:type="dxa"/>
            <w:tcBorders>
              <w:top w:val="single" w:sz="4" w:space="0" w:color="auto"/>
              <w:bottom w:val="single" w:sz="4" w:space="0" w:color="auto"/>
            </w:tcBorders>
            <w:vAlign w:val="bottom"/>
          </w:tcPr>
          <w:p w14:paraId="17070507"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Treatment</w:t>
            </w:r>
          </w:p>
          <w:p w14:paraId="03588B07" w14:textId="13BD24D0"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N</w:t>
            </w:r>
            <w:r w:rsidR="006B137C">
              <w:rPr>
                <w:rFonts w:ascii="MS Reference Sans Serif" w:hAnsi="MS Reference Sans Serif" w:cs="Times New Roman"/>
                <w:sz w:val="22"/>
                <w:szCs w:val="22"/>
              </w:rPr>
              <w:t xml:space="preserve"> = </w:t>
            </w:r>
            <w:r w:rsidRPr="00E33192">
              <w:rPr>
                <w:rFonts w:ascii="MS Reference Sans Serif" w:hAnsi="MS Reference Sans Serif" w:cs="Times New Roman"/>
                <w:sz w:val="22"/>
                <w:szCs w:val="22"/>
              </w:rPr>
              <w:t>23</w:t>
            </w:r>
          </w:p>
          <w:p w14:paraId="76DA48D5" w14:textId="77777777" w:rsidR="002D193C" w:rsidRPr="00E33192" w:rsidRDefault="002D193C" w:rsidP="002D193C">
            <w:pPr>
              <w:contextualSpacing/>
              <w:rPr>
                <w:rFonts w:ascii="MS Reference Sans Serif" w:hAnsi="MS Reference Sans Serif" w:cs="Times New Roman"/>
                <w:i/>
                <w:sz w:val="22"/>
                <w:szCs w:val="22"/>
              </w:rPr>
            </w:pPr>
            <w:r w:rsidRPr="00E33192">
              <w:rPr>
                <w:rFonts w:ascii="MS Reference Sans Serif" w:hAnsi="MS Reference Sans Serif" w:cs="Times New Roman"/>
                <w:i/>
                <w:sz w:val="22"/>
                <w:szCs w:val="22"/>
              </w:rPr>
              <w:t>M (SD)</w:t>
            </w:r>
          </w:p>
        </w:tc>
        <w:tc>
          <w:tcPr>
            <w:tcW w:w="1080" w:type="dxa"/>
            <w:tcBorders>
              <w:top w:val="single" w:sz="4" w:space="0" w:color="auto"/>
              <w:bottom w:val="single" w:sz="4" w:space="0" w:color="auto"/>
            </w:tcBorders>
            <w:vAlign w:val="bottom"/>
          </w:tcPr>
          <w:p w14:paraId="2F29038C" w14:textId="77777777" w:rsidR="002D193C" w:rsidRPr="00E33192" w:rsidRDefault="002D193C" w:rsidP="002D193C">
            <w:pPr>
              <w:contextualSpacing/>
              <w:rPr>
                <w:rFonts w:ascii="MS Reference Sans Serif" w:hAnsi="MS Reference Sans Serif" w:cs="Times New Roman"/>
                <w:i/>
                <w:sz w:val="22"/>
                <w:szCs w:val="22"/>
              </w:rPr>
            </w:pPr>
            <w:r w:rsidRPr="00E33192">
              <w:rPr>
                <w:rFonts w:ascii="MS Reference Sans Serif" w:hAnsi="MS Reference Sans Serif" w:cs="Times New Roman"/>
                <w:i/>
                <w:sz w:val="22"/>
                <w:szCs w:val="22"/>
              </w:rPr>
              <w:t>p</w:t>
            </w:r>
          </w:p>
        </w:tc>
        <w:tc>
          <w:tcPr>
            <w:tcW w:w="1800" w:type="dxa"/>
            <w:tcBorders>
              <w:top w:val="single" w:sz="4" w:space="0" w:color="auto"/>
              <w:bottom w:val="single" w:sz="4" w:space="0" w:color="auto"/>
            </w:tcBorders>
            <w:vAlign w:val="bottom"/>
          </w:tcPr>
          <w:p w14:paraId="5379E88D"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Levene’s Test for Equality of Variances (</w:t>
            </w:r>
            <w:r w:rsidRPr="00E33192">
              <w:rPr>
                <w:rFonts w:ascii="MS Reference Sans Serif" w:hAnsi="MS Reference Sans Serif" w:cs="Times New Roman"/>
                <w:i/>
                <w:sz w:val="22"/>
                <w:szCs w:val="22"/>
              </w:rPr>
              <w:t>p</w:t>
            </w:r>
            <w:r w:rsidRPr="00E33192">
              <w:rPr>
                <w:rFonts w:ascii="MS Reference Sans Serif" w:hAnsi="MS Reference Sans Serif" w:cs="Times New Roman"/>
                <w:sz w:val="22"/>
                <w:szCs w:val="22"/>
              </w:rPr>
              <w:t>-value)</w:t>
            </w:r>
          </w:p>
        </w:tc>
      </w:tr>
      <w:tr w:rsidR="002D193C" w:rsidRPr="00E33192" w14:paraId="069A6166" w14:textId="77777777" w:rsidTr="00354BEC">
        <w:tc>
          <w:tcPr>
            <w:tcW w:w="3780" w:type="dxa"/>
            <w:tcBorders>
              <w:top w:val="single" w:sz="4" w:space="0" w:color="auto"/>
            </w:tcBorders>
          </w:tcPr>
          <w:p w14:paraId="25916403"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Joint Productive Activity, Pre</w:t>
            </w:r>
          </w:p>
        </w:tc>
        <w:tc>
          <w:tcPr>
            <w:tcW w:w="1530" w:type="dxa"/>
            <w:tcBorders>
              <w:top w:val="single" w:sz="4" w:space="0" w:color="auto"/>
            </w:tcBorders>
            <w:vAlign w:val="center"/>
          </w:tcPr>
          <w:p w14:paraId="55B68594"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1.40 (0.47)</w:t>
            </w:r>
          </w:p>
        </w:tc>
        <w:tc>
          <w:tcPr>
            <w:tcW w:w="1530" w:type="dxa"/>
            <w:tcBorders>
              <w:top w:val="single" w:sz="4" w:space="0" w:color="auto"/>
            </w:tcBorders>
            <w:vAlign w:val="center"/>
          </w:tcPr>
          <w:p w14:paraId="562F6B56"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1.37 (0.45)</w:t>
            </w:r>
          </w:p>
        </w:tc>
        <w:tc>
          <w:tcPr>
            <w:tcW w:w="1080" w:type="dxa"/>
            <w:tcBorders>
              <w:top w:val="single" w:sz="4" w:space="0" w:color="auto"/>
            </w:tcBorders>
          </w:tcPr>
          <w:p w14:paraId="7435A3A5"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0.850</w:t>
            </w:r>
          </w:p>
        </w:tc>
        <w:tc>
          <w:tcPr>
            <w:tcW w:w="1800" w:type="dxa"/>
            <w:tcBorders>
              <w:top w:val="single" w:sz="4" w:space="0" w:color="auto"/>
            </w:tcBorders>
            <w:vAlign w:val="center"/>
          </w:tcPr>
          <w:p w14:paraId="48D3F63D"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0.733</w:t>
            </w:r>
          </w:p>
        </w:tc>
      </w:tr>
      <w:tr w:rsidR="002D193C" w:rsidRPr="00E33192" w14:paraId="28C85FA5" w14:textId="77777777" w:rsidTr="00354BEC">
        <w:tc>
          <w:tcPr>
            <w:tcW w:w="3780" w:type="dxa"/>
          </w:tcPr>
          <w:p w14:paraId="6B97345C"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Lang. &amp; Lit. Development, Pre</w:t>
            </w:r>
          </w:p>
        </w:tc>
        <w:tc>
          <w:tcPr>
            <w:tcW w:w="1530" w:type="dxa"/>
            <w:vAlign w:val="center"/>
          </w:tcPr>
          <w:p w14:paraId="22C09101"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1.08 (0.58)</w:t>
            </w:r>
          </w:p>
        </w:tc>
        <w:tc>
          <w:tcPr>
            <w:tcW w:w="1530" w:type="dxa"/>
            <w:vAlign w:val="center"/>
          </w:tcPr>
          <w:p w14:paraId="50879646"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1.24 (0.63)</w:t>
            </w:r>
          </w:p>
        </w:tc>
        <w:tc>
          <w:tcPr>
            <w:tcW w:w="1080" w:type="dxa"/>
          </w:tcPr>
          <w:p w14:paraId="7C9CDD22"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0.366</w:t>
            </w:r>
          </w:p>
        </w:tc>
        <w:tc>
          <w:tcPr>
            <w:tcW w:w="1800" w:type="dxa"/>
            <w:vAlign w:val="center"/>
          </w:tcPr>
          <w:p w14:paraId="28DC5C29"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0.993</w:t>
            </w:r>
          </w:p>
        </w:tc>
      </w:tr>
      <w:tr w:rsidR="002D193C" w:rsidRPr="00E33192" w14:paraId="19CB1DBF" w14:textId="77777777" w:rsidTr="00354BEC">
        <w:tc>
          <w:tcPr>
            <w:tcW w:w="3780" w:type="dxa"/>
          </w:tcPr>
          <w:p w14:paraId="2A0A131C"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Contextualization, Pre</w:t>
            </w:r>
          </w:p>
        </w:tc>
        <w:tc>
          <w:tcPr>
            <w:tcW w:w="1530" w:type="dxa"/>
            <w:vAlign w:val="center"/>
          </w:tcPr>
          <w:p w14:paraId="5F8BEEAA"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0.64 (0.40)</w:t>
            </w:r>
          </w:p>
        </w:tc>
        <w:tc>
          <w:tcPr>
            <w:tcW w:w="1530" w:type="dxa"/>
            <w:vAlign w:val="center"/>
          </w:tcPr>
          <w:p w14:paraId="164FD344"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0.83 (0.50)</w:t>
            </w:r>
          </w:p>
        </w:tc>
        <w:tc>
          <w:tcPr>
            <w:tcW w:w="1080" w:type="dxa"/>
          </w:tcPr>
          <w:p w14:paraId="0F689393"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0.166</w:t>
            </w:r>
          </w:p>
        </w:tc>
        <w:tc>
          <w:tcPr>
            <w:tcW w:w="1800" w:type="dxa"/>
            <w:vAlign w:val="center"/>
          </w:tcPr>
          <w:p w14:paraId="39F226E6"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 xml:space="preserve"> 0.257</w:t>
            </w:r>
          </w:p>
        </w:tc>
      </w:tr>
      <w:tr w:rsidR="002D193C" w:rsidRPr="00E33192" w14:paraId="4E6879A4" w14:textId="77777777" w:rsidTr="00354BEC">
        <w:tc>
          <w:tcPr>
            <w:tcW w:w="3780" w:type="dxa"/>
          </w:tcPr>
          <w:p w14:paraId="2040FA36"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Challenging Activities, Pre</w:t>
            </w:r>
          </w:p>
        </w:tc>
        <w:tc>
          <w:tcPr>
            <w:tcW w:w="1530" w:type="dxa"/>
            <w:vAlign w:val="center"/>
          </w:tcPr>
          <w:p w14:paraId="77CBAA94"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1.48 (0.47)</w:t>
            </w:r>
          </w:p>
        </w:tc>
        <w:tc>
          <w:tcPr>
            <w:tcW w:w="1530" w:type="dxa"/>
            <w:vAlign w:val="center"/>
          </w:tcPr>
          <w:p w14:paraId="5B5BDC1C"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1.39 (0.50)</w:t>
            </w:r>
          </w:p>
        </w:tc>
        <w:tc>
          <w:tcPr>
            <w:tcW w:w="1080" w:type="dxa"/>
          </w:tcPr>
          <w:p w14:paraId="6E18112F"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0.545</w:t>
            </w:r>
          </w:p>
        </w:tc>
        <w:tc>
          <w:tcPr>
            <w:tcW w:w="1800" w:type="dxa"/>
            <w:vAlign w:val="center"/>
          </w:tcPr>
          <w:p w14:paraId="2C58314F"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0.239</w:t>
            </w:r>
          </w:p>
        </w:tc>
      </w:tr>
      <w:tr w:rsidR="002D193C" w:rsidRPr="00E33192" w14:paraId="6CAA49DB" w14:textId="77777777" w:rsidTr="00354BEC">
        <w:tc>
          <w:tcPr>
            <w:tcW w:w="3780" w:type="dxa"/>
          </w:tcPr>
          <w:p w14:paraId="190F6F88"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Instructional Conversation, Pre</w:t>
            </w:r>
          </w:p>
        </w:tc>
        <w:tc>
          <w:tcPr>
            <w:tcW w:w="1530" w:type="dxa"/>
            <w:vAlign w:val="center"/>
          </w:tcPr>
          <w:p w14:paraId="00367DEA"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1.30 (0.60)</w:t>
            </w:r>
          </w:p>
        </w:tc>
        <w:tc>
          <w:tcPr>
            <w:tcW w:w="1530" w:type="dxa"/>
            <w:vAlign w:val="center"/>
          </w:tcPr>
          <w:p w14:paraId="458934C0"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1.27 (0.53)</w:t>
            </w:r>
          </w:p>
        </w:tc>
        <w:tc>
          <w:tcPr>
            <w:tcW w:w="1080" w:type="dxa"/>
          </w:tcPr>
          <w:p w14:paraId="3BB9932D"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0.877</w:t>
            </w:r>
          </w:p>
        </w:tc>
        <w:tc>
          <w:tcPr>
            <w:tcW w:w="1800" w:type="dxa"/>
            <w:vAlign w:val="center"/>
          </w:tcPr>
          <w:p w14:paraId="594FFD03"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0.787</w:t>
            </w:r>
          </w:p>
        </w:tc>
      </w:tr>
      <w:tr w:rsidR="002D193C" w:rsidRPr="00E33192" w14:paraId="247C3572" w14:textId="77777777" w:rsidTr="00354BEC">
        <w:tc>
          <w:tcPr>
            <w:tcW w:w="3780" w:type="dxa"/>
            <w:tcBorders>
              <w:bottom w:val="single" w:sz="4" w:space="0" w:color="auto"/>
            </w:tcBorders>
          </w:tcPr>
          <w:p w14:paraId="5BE05ABB" w14:textId="596BBC1C" w:rsidR="002D193C" w:rsidRPr="00E33192" w:rsidRDefault="006D555A" w:rsidP="002D193C">
            <w:pPr>
              <w:contextualSpacing/>
              <w:rPr>
                <w:rFonts w:ascii="MS Reference Sans Serif" w:hAnsi="MS Reference Sans Serif" w:cs="Times New Roman"/>
                <w:sz w:val="22"/>
                <w:szCs w:val="22"/>
              </w:rPr>
            </w:pPr>
            <w:r>
              <w:rPr>
                <w:rFonts w:ascii="MS Reference Sans Serif" w:hAnsi="MS Reference Sans Serif" w:cs="Times New Roman"/>
                <w:sz w:val="22"/>
                <w:szCs w:val="22"/>
              </w:rPr>
              <w:t>ISCRT</w:t>
            </w:r>
            <w:r w:rsidR="002D193C" w:rsidRPr="00E33192">
              <w:rPr>
                <w:rFonts w:ascii="MS Reference Sans Serif" w:hAnsi="MS Reference Sans Serif" w:cs="Times New Roman"/>
                <w:sz w:val="22"/>
                <w:szCs w:val="22"/>
              </w:rPr>
              <w:t xml:space="preserve"> Composite, Pre</w:t>
            </w:r>
          </w:p>
        </w:tc>
        <w:tc>
          <w:tcPr>
            <w:tcW w:w="1530" w:type="dxa"/>
            <w:tcBorders>
              <w:bottom w:val="single" w:sz="4" w:space="0" w:color="auto"/>
            </w:tcBorders>
            <w:vAlign w:val="center"/>
          </w:tcPr>
          <w:p w14:paraId="4905A1A8" w14:textId="77777777" w:rsidR="002D193C" w:rsidRPr="00E33192" w:rsidRDefault="002D193C" w:rsidP="002D193C">
            <w:pPr>
              <w:contextualSpacing/>
              <w:rPr>
                <w:rFonts w:ascii="MS Reference Sans Serif" w:hAnsi="MS Reference Sans Serif" w:cs="Times New Roman"/>
                <w:sz w:val="22"/>
                <w:szCs w:val="22"/>
                <w:highlight w:val="yellow"/>
              </w:rPr>
            </w:pPr>
            <w:r w:rsidRPr="00E33192">
              <w:rPr>
                <w:rFonts w:ascii="MS Reference Sans Serif" w:hAnsi="MS Reference Sans Serif" w:cs="Times New Roman"/>
                <w:sz w:val="22"/>
                <w:szCs w:val="22"/>
              </w:rPr>
              <w:t>1.17 (0.38)</w:t>
            </w:r>
          </w:p>
        </w:tc>
        <w:tc>
          <w:tcPr>
            <w:tcW w:w="1530" w:type="dxa"/>
            <w:tcBorders>
              <w:bottom w:val="single" w:sz="4" w:space="0" w:color="auto"/>
            </w:tcBorders>
            <w:vAlign w:val="center"/>
          </w:tcPr>
          <w:p w14:paraId="78178F2E" w14:textId="77777777" w:rsidR="002D193C" w:rsidRPr="00E33192" w:rsidRDefault="002D193C" w:rsidP="002D193C">
            <w:pPr>
              <w:contextualSpacing/>
              <w:rPr>
                <w:rFonts w:ascii="MS Reference Sans Serif" w:hAnsi="MS Reference Sans Serif" w:cs="Times New Roman"/>
                <w:sz w:val="22"/>
                <w:szCs w:val="22"/>
                <w:highlight w:val="yellow"/>
              </w:rPr>
            </w:pPr>
            <w:r w:rsidRPr="00E33192">
              <w:rPr>
                <w:rFonts w:ascii="MS Reference Sans Serif" w:hAnsi="MS Reference Sans Serif" w:cs="Times New Roman"/>
                <w:sz w:val="22"/>
                <w:szCs w:val="22"/>
              </w:rPr>
              <w:t>1.20 (0.41)</w:t>
            </w:r>
          </w:p>
        </w:tc>
        <w:tc>
          <w:tcPr>
            <w:tcW w:w="1080" w:type="dxa"/>
            <w:tcBorders>
              <w:bottom w:val="single" w:sz="4" w:space="0" w:color="auto"/>
            </w:tcBorders>
          </w:tcPr>
          <w:p w14:paraId="3ADCE028"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0.773</w:t>
            </w:r>
          </w:p>
        </w:tc>
        <w:tc>
          <w:tcPr>
            <w:tcW w:w="1800" w:type="dxa"/>
            <w:tcBorders>
              <w:bottom w:val="single" w:sz="4" w:space="0" w:color="auto"/>
            </w:tcBorders>
            <w:vAlign w:val="center"/>
          </w:tcPr>
          <w:p w14:paraId="46902F87" w14:textId="77777777" w:rsidR="002D193C" w:rsidRPr="00E33192" w:rsidRDefault="002D193C" w:rsidP="002D193C">
            <w:pPr>
              <w:contextualSpacing/>
              <w:rPr>
                <w:rFonts w:ascii="MS Reference Sans Serif" w:hAnsi="MS Reference Sans Serif" w:cs="Times New Roman"/>
                <w:sz w:val="22"/>
                <w:szCs w:val="22"/>
              </w:rPr>
            </w:pPr>
            <w:r w:rsidRPr="00E33192">
              <w:rPr>
                <w:rFonts w:ascii="MS Reference Sans Serif" w:hAnsi="MS Reference Sans Serif" w:cs="Times New Roman"/>
                <w:sz w:val="22"/>
                <w:szCs w:val="22"/>
              </w:rPr>
              <w:t>0.329</w:t>
            </w:r>
          </w:p>
        </w:tc>
      </w:tr>
    </w:tbl>
    <w:p w14:paraId="4C1B235D" w14:textId="77777777" w:rsidR="002D193C" w:rsidRPr="00E33192" w:rsidRDefault="002D193C" w:rsidP="002D193C">
      <w:pPr>
        <w:contextualSpacing/>
        <w:jc w:val="left"/>
        <w:rPr>
          <w:rFonts w:ascii="MS Reference Sans Serif" w:hAnsi="MS Reference Sans Serif"/>
          <w:sz w:val="22"/>
        </w:rPr>
      </w:pPr>
    </w:p>
    <w:p w14:paraId="48289587" w14:textId="031CE6FE" w:rsidR="002D193C"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After this initial analysis establishing the relatively equivalent implementation of CRT for the treatment and control groups, an independent samples </w:t>
      </w:r>
      <w:r w:rsidRPr="00E33192">
        <w:rPr>
          <w:rFonts w:ascii="MS Reference Sans Serif" w:hAnsi="MS Reference Sans Serif"/>
          <w:i/>
          <w:sz w:val="22"/>
        </w:rPr>
        <w:t>t</w:t>
      </w:r>
      <w:r w:rsidRPr="00E33192">
        <w:rPr>
          <w:rFonts w:ascii="MS Reference Sans Serif" w:hAnsi="MS Reference Sans Serif"/>
          <w:sz w:val="22"/>
        </w:rPr>
        <w:t xml:space="preserve">-test was conducted on the difference score between the pre- and post-observation scores for each standard and composite scores to explore the impact of coursework supported by coaching on teachers’ CRT over time. The results of the independent samples </w:t>
      </w:r>
      <w:r w:rsidRPr="00E33192">
        <w:rPr>
          <w:rFonts w:ascii="MS Reference Sans Serif" w:hAnsi="MS Reference Sans Serif"/>
          <w:i/>
          <w:sz w:val="22"/>
        </w:rPr>
        <w:t>t</w:t>
      </w:r>
      <w:r w:rsidRPr="00E33192">
        <w:rPr>
          <w:rFonts w:ascii="MS Reference Sans Serif" w:hAnsi="MS Reference Sans Serif"/>
          <w:sz w:val="22"/>
        </w:rPr>
        <w:t xml:space="preserve">-test (Table 2) </w:t>
      </w:r>
      <w:bookmarkStart w:id="7" w:name="_Hlk32402385"/>
      <w:r w:rsidRPr="00E33192">
        <w:rPr>
          <w:rFonts w:ascii="MS Reference Sans Serif" w:hAnsi="MS Reference Sans Serif"/>
          <w:sz w:val="22"/>
        </w:rPr>
        <w:t>suggest the treatment and control groups were statistically significantly different in their observed levels of CRT after coursework with coaching.</w:t>
      </w:r>
    </w:p>
    <w:p w14:paraId="4474547A" w14:textId="16C52F9C" w:rsidR="002B01BA" w:rsidRDefault="002B01BA" w:rsidP="002D193C">
      <w:pPr>
        <w:contextualSpacing/>
        <w:jc w:val="left"/>
        <w:rPr>
          <w:rFonts w:ascii="MS Reference Sans Serif" w:hAnsi="MS Reference Sans Serif"/>
          <w:sz w:val="22"/>
        </w:rPr>
      </w:pPr>
    </w:p>
    <w:p w14:paraId="25C0445F" w14:textId="06C0D9A1" w:rsidR="002B01BA" w:rsidRDefault="002B01BA" w:rsidP="002D193C">
      <w:pPr>
        <w:contextualSpacing/>
        <w:jc w:val="left"/>
        <w:rPr>
          <w:rFonts w:ascii="MS Reference Sans Serif" w:hAnsi="MS Reference Sans Serif"/>
          <w:b/>
          <w:bCs/>
          <w:sz w:val="22"/>
        </w:rPr>
      </w:pPr>
      <w:r w:rsidRPr="002B01BA">
        <w:rPr>
          <w:rFonts w:ascii="MS Reference Sans Serif" w:hAnsi="MS Reference Sans Serif"/>
          <w:b/>
          <w:bCs/>
          <w:sz w:val="22"/>
        </w:rPr>
        <w:t>Table 2</w:t>
      </w:r>
    </w:p>
    <w:p w14:paraId="2F69ADB0" w14:textId="0438F542" w:rsidR="002B01BA" w:rsidRDefault="002B01BA" w:rsidP="002D193C">
      <w:pPr>
        <w:contextualSpacing/>
        <w:jc w:val="left"/>
        <w:rPr>
          <w:rFonts w:ascii="MS Reference Sans Serif" w:hAnsi="MS Reference Sans Serif"/>
          <w:b/>
          <w:bCs/>
          <w:sz w:val="22"/>
        </w:rPr>
      </w:pPr>
    </w:p>
    <w:p w14:paraId="278EB601" w14:textId="7E771995" w:rsidR="00226C08" w:rsidRDefault="006D555A" w:rsidP="0084445B">
      <w:pPr>
        <w:contextualSpacing/>
        <w:jc w:val="left"/>
        <w:rPr>
          <w:rFonts w:ascii="MS Reference Sans Serif" w:hAnsi="MS Reference Sans Serif"/>
          <w:i/>
          <w:sz w:val="22"/>
          <w:szCs w:val="22"/>
        </w:rPr>
      </w:pPr>
      <w:r>
        <w:rPr>
          <w:rFonts w:ascii="MS Reference Sans Serif" w:hAnsi="MS Reference Sans Serif"/>
          <w:i/>
          <w:sz w:val="22"/>
          <w:szCs w:val="22"/>
        </w:rPr>
        <w:t>ISCRT</w:t>
      </w:r>
      <w:r w:rsidR="00226C08" w:rsidRPr="00E33192">
        <w:rPr>
          <w:rFonts w:ascii="MS Reference Sans Serif" w:hAnsi="MS Reference Sans Serif"/>
          <w:i/>
          <w:sz w:val="22"/>
          <w:szCs w:val="22"/>
        </w:rPr>
        <w:t xml:space="preserve"> Scores, Control and Treatment</w:t>
      </w:r>
      <w:r w:rsidR="0040783F">
        <w:rPr>
          <w:rFonts w:ascii="MS Reference Sans Serif" w:hAnsi="MS Reference Sans Serif"/>
          <w:i/>
          <w:sz w:val="22"/>
          <w:szCs w:val="22"/>
        </w:rPr>
        <w:t xml:space="preserve"> Differences</w:t>
      </w:r>
      <w:r w:rsidR="00226C08" w:rsidRPr="00E33192">
        <w:rPr>
          <w:rFonts w:ascii="MS Reference Sans Serif" w:hAnsi="MS Reference Sans Serif"/>
          <w:i/>
          <w:sz w:val="22"/>
          <w:szCs w:val="22"/>
        </w:rPr>
        <w:t xml:space="preserve">, </w:t>
      </w:r>
      <w:r w:rsidR="00226C08">
        <w:rPr>
          <w:rFonts w:ascii="MS Reference Sans Serif" w:hAnsi="MS Reference Sans Serif"/>
          <w:i/>
          <w:sz w:val="22"/>
          <w:szCs w:val="22"/>
        </w:rPr>
        <w:t xml:space="preserve">Post </w:t>
      </w:r>
      <w:r w:rsidR="0040783F">
        <w:rPr>
          <w:rFonts w:ascii="MS Reference Sans Serif" w:hAnsi="MS Reference Sans Serif"/>
          <w:i/>
          <w:sz w:val="22"/>
          <w:szCs w:val="22"/>
        </w:rPr>
        <w:t>Observation</w:t>
      </w:r>
    </w:p>
    <w:p w14:paraId="0900975A" w14:textId="77777777" w:rsidR="0040783F" w:rsidRDefault="0040783F" w:rsidP="0040783F">
      <w:pPr>
        <w:contextualSpacing/>
        <w:rPr>
          <w:rFonts w:ascii="MS Reference Sans Serif" w:hAnsi="MS Reference Sans Serif"/>
          <w:i/>
          <w:sz w:val="22"/>
          <w:szCs w:val="22"/>
        </w:rPr>
      </w:pPr>
    </w:p>
    <w:tbl>
      <w:tblPr>
        <w:tblStyle w:val="TableGrid"/>
        <w:tblW w:w="95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2714"/>
        <w:gridCol w:w="108"/>
        <w:gridCol w:w="1206"/>
        <w:gridCol w:w="108"/>
        <w:gridCol w:w="1206"/>
        <w:gridCol w:w="108"/>
        <w:gridCol w:w="1206"/>
        <w:gridCol w:w="108"/>
        <w:gridCol w:w="1206"/>
        <w:gridCol w:w="108"/>
        <w:gridCol w:w="1206"/>
        <w:gridCol w:w="108"/>
      </w:tblGrid>
      <w:tr w:rsidR="002D193C" w:rsidRPr="00E33192" w14:paraId="41779E51" w14:textId="77777777" w:rsidTr="00DB7F0B">
        <w:trPr>
          <w:gridBefore w:val="1"/>
          <w:wBefore w:w="108" w:type="dxa"/>
          <w:trHeight w:val="1177"/>
        </w:trPr>
        <w:tc>
          <w:tcPr>
            <w:tcW w:w="2822" w:type="dxa"/>
            <w:gridSpan w:val="2"/>
            <w:tcBorders>
              <w:top w:val="single" w:sz="12" w:space="0" w:color="auto"/>
              <w:bottom w:val="single" w:sz="12" w:space="0" w:color="auto"/>
            </w:tcBorders>
            <w:vAlign w:val="bottom"/>
          </w:tcPr>
          <w:p w14:paraId="57FD47B7" w14:textId="77777777"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rPr>
              <w:t>Standard</w:t>
            </w:r>
          </w:p>
        </w:tc>
        <w:tc>
          <w:tcPr>
            <w:tcW w:w="1314" w:type="dxa"/>
            <w:gridSpan w:val="2"/>
            <w:tcBorders>
              <w:top w:val="single" w:sz="12" w:space="0" w:color="auto"/>
              <w:bottom w:val="single" w:sz="12" w:space="0" w:color="auto"/>
            </w:tcBorders>
            <w:vAlign w:val="bottom"/>
          </w:tcPr>
          <w:p w14:paraId="2AB511FF" w14:textId="77777777"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rPr>
              <w:t>Control</w:t>
            </w:r>
          </w:p>
          <w:p w14:paraId="7F80274B" w14:textId="7CB79218"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rPr>
              <w:t>N</w:t>
            </w:r>
            <w:r w:rsidR="006B137C">
              <w:rPr>
                <w:rFonts w:ascii="MS Reference Sans Serif" w:hAnsi="MS Reference Sans Serif" w:cs="Times New Roman"/>
              </w:rPr>
              <w:t xml:space="preserve"> = </w:t>
            </w:r>
            <w:r w:rsidRPr="00E33192">
              <w:rPr>
                <w:rFonts w:ascii="MS Reference Sans Serif" w:hAnsi="MS Reference Sans Serif" w:cs="Times New Roman"/>
              </w:rPr>
              <w:t>23</w:t>
            </w:r>
          </w:p>
          <w:p w14:paraId="72706945" w14:textId="77777777" w:rsidR="002D193C" w:rsidRPr="00E33192" w:rsidRDefault="002D193C" w:rsidP="002D193C">
            <w:pPr>
              <w:ind w:right="-158"/>
              <w:contextualSpacing/>
              <w:rPr>
                <w:rFonts w:ascii="MS Reference Sans Serif" w:hAnsi="MS Reference Sans Serif" w:cs="Times New Roman"/>
                <w:i/>
              </w:rPr>
            </w:pPr>
            <w:r w:rsidRPr="00E33192">
              <w:rPr>
                <w:rFonts w:ascii="MS Reference Sans Serif" w:hAnsi="MS Reference Sans Serif" w:cs="Times New Roman"/>
                <w:i/>
              </w:rPr>
              <w:t xml:space="preserve">M </w:t>
            </w:r>
          </w:p>
          <w:p w14:paraId="5D83742D" w14:textId="77777777" w:rsidR="002D193C" w:rsidRPr="00E33192" w:rsidRDefault="002D193C" w:rsidP="002D193C">
            <w:pPr>
              <w:ind w:right="-158"/>
              <w:contextualSpacing/>
              <w:rPr>
                <w:rFonts w:ascii="MS Reference Sans Serif" w:hAnsi="MS Reference Sans Serif" w:cs="Times New Roman"/>
                <w:i/>
              </w:rPr>
            </w:pPr>
            <w:r w:rsidRPr="00E33192">
              <w:rPr>
                <w:rFonts w:ascii="MS Reference Sans Serif" w:hAnsi="MS Reference Sans Serif" w:cs="Times New Roman"/>
                <w:i/>
              </w:rPr>
              <w:t>(SD)</w:t>
            </w:r>
          </w:p>
        </w:tc>
        <w:tc>
          <w:tcPr>
            <w:tcW w:w="1314" w:type="dxa"/>
            <w:gridSpan w:val="2"/>
            <w:tcBorders>
              <w:top w:val="single" w:sz="12" w:space="0" w:color="auto"/>
              <w:bottom w:val="single" w:sz="12" w:space="0" w:color="auto"/>
            </w:tcBorders>
            <w:vAlign w:val="bottom"/>
          </w:tcPr>
          <w:p w14:paraId="170CC2C8" w14:textId="77777777"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rPr>
              <w:t>Treatment</w:t>
            </w:r>
          </w:p>
          <w:p w14:paraId="5F9943BA" w14:textId="46BBD49A"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rPr>
              <w:t>N</w:t>
            </w:r>
            <w:r w:rsidR="006B137C">
              <w:rPr>
                <w:rFonts w:ascii="MS Reference Sans Serif" w:hAnsi="MS Reference Sans Serif" w:cs="Times New Roman"/>
              </w:rPr>
              <w:t xml:space="preserve"> = </w:t>
            </w:r>
            <w:r w:rsidRPr="00E33192">
              <w:rPr>
                <w:rFonts w:ascii="MS Reference Sans Serif" w:hAnsi="MS Reference Sans Serif" w:cs="Times New Roman"/>
              </w:rPr>
              <w:t>23</w:t>
            </w:r>
          </w:p>
          <w:p w14:paraId="15C824F1" w14:textId="77777777" w:rsidR="002D193C" w:rsidRPr="00E33192" w:rsidRDefault="002D193C" w:rsidP="002D193C">
            <w:pPr>
              <w:ind w:right="-158"/>
              <w:contextualSpacing/>
              <w:rPr>
                <w:rFonts w:ascii="MS Reference Sans Serif" w:hAnsi="MS Reference Sans Serif" w:cs="Times New Roman"/>
                <w:i/>
              </w:rPr>
            </w:pPr>
            <w:r w:rsidRPr="00E33192">
              <w:rPr>
                <w:rFonts w:ascii="MS Reference Sans Serif" w:hAnsi="MS Reference Sans Serif" w:cs="Times New Roman"/>
                <w:i/>
              </w:rPr>
              <w:t xml:space="preserve">M </w:t>
            </w:r>
          </w:p>
          <w:p w14:paraId="3A3DFA62" w14:textId="77777777"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i/>
              </w:rPr>
              <w:t>(SD)</w:t>
            </w:r>
          </w:p>
        </w:tc>
        <w:tc>
          <w:tcPr>
            <w:tcW w:w="1314" w:type="dxa"/>
            <w:gridSpan w:val="2"/>
            <w:tcBorders>
              <w:top w:val="single" w:sz="12" w:space="0" w:color="auto"/>
              <w:bottom w:val="single" w:sz="12" w:space="0" w:color="auto"/>
            </w:tcBorders>
            <w:vAlign w:val="bottom"/>
          </w:tcPr>
          <w:p w14:paraId="76BB4A5B" w14:textId="77777777"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rPr>
              <w:t xml:space="preserve">Sig. </w:t>
            </w:r>
            <w:r w:rsidRPr="00E33192">
              <w:rPr>
                <w:rFonts w:ascii="MS Reference Sans Serif" w:hAnsi="MS Reference Sans Serif" w:cs="Times New Roman"/>
                <w:i/>
              </w:rPr>
              <w:t>t</w:t>
            </w:r>
            <w:r w:rsidRPr="00E33192">
              <w:rPr>
                <w:rFonts w:ascii="MS Reference Sans Serif" w:hAnsi="MS Reference Sans Serif" w:cs="Times New Roman"/>
              </w:rPr>
              <w:t xml:space="preserve">-test </w:t>
            </w:r>
            <w:r w:rsidRPr="00E33192">
              <w:rPr>
                <w:rFonts w:ascii="MS Reference Sans Serif" w:hAnsi="MS Reference Sans Serif" w:cs="Times New Roman"/>
                <w:i/>
              </w:rPr>
              <w:t>p-</w:t>
            </w:r>
            <w:r w:rsidRPr="00E33192">
              <w:rPr>
                <w:rFonts w:ascii="MS Reference Sans Serif" w:hAnsi="MS Reference Sans Serif" w:cs="Times New Roman"/>
              </w:rPr>
              <w:t>value</w:t>
            </w:r>
          </w:p>
        </w:tc>
        <w:tc>
          <w:tcPr>
            <w:tcW w:w="1314" w:type="dxa"/>
            <w:gridSpan w:val="2"/>
            <w:tcBorders>
              <w:top w:val="single" w:sz="12" w:space="0" w:color="auto"/>
              <w:bottom w:val="single" w:sz="12" w:space="0" w:color="auto"/>
            </w:tcBorders>
            <w:vAlign w:val="bottom"/>
          </w:tcPr>
          <w:p w14:paraId="0A206D36" w14:textId="77777777"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rPr>
              <w:t>Levene’s Test for Equality of Variances (</w:t>
            </w:r>
            <w:r w:rsidRPr="00E33192">
              <w:rPr>
                <w:rFonts w:ascii="MS Reference Sans Serif" w:hAnsi="MS Reference Sans Serif" w:cs="Times New Roman"/>
                <w:i/>
              </w:rPr>
              <w:t>p</w:t>
            </w:r>
            <w:r w:rsidRPr="00E33192">
              <w:rPr>
                <w:rFonts w:ascii="MS Reference Sans Serif" w:hAnsi="MS Reference Sans Serif" w:cs="Times New Roman"/>
              </w:rPr>
              <w:t>-value)</w:t>
            </w:r>
          </w:p>
        </w:tc>
        <w:tc>
          <w:tcPr>
            <w:tcW w:w="1314" w:type="dxa"/>
            <w:gridSpan w:val="2"/>
            <w:tcBorders>
              <w:top w:val="single" w:sz="12" w:space="0" w:color="auto"/>
              <w:bottom w:val="single" w:sz="12" w:space="0" w:color="auto"/>
            </w:tcBorders>
            <w:vAlign w:val="bottom"/>
          </w:tcPr>
          <w:p w14:paraId="190A76AE" w14:textId="77777777" w:rsidR="002D193C" w:rsidRPr="00E33192" w:rsidRDefault="002D193C" w:rsidP="002D193C">
            <w:pPr>
              <w:ind w:right="-158"/>
              <w:contextualSpacing/>
              <w:rPr>
                <w:rFonts w:ascii="MS Reference Sans Serif" w:hAnsi="MS Reference Sans Serif" w:cs="Times New Roman"/>
              </w:rPr>
            </w:pPr>
            <w:r w:rsidRPr="00E33192">
              <w:rPr>
                <w:rFonts w:ascii="MS Reference Sans Serif" w:hAnsi="MS Reference Sans Serif" w:cs="Times New Roman"/>
              </w:rPr>
              <w:t xml:space="preserve">Effect Size (Cohen’s </w:t>
            </w:r>
            <w:r w:rsidRPr="00E33192">
              <w:rPr>
                <w:rFonts w:ascii="MS Reference Sans Serif" w:hAnsi="MS Reference Sans Serif" w:cs="Times New Roman"/>
                <w:i/>
              </w:rPr>
              <w:t>d</w:t>
            </w:r>
            <w:r w:rsidRPr="00E33192">
              <w:rPr>
                <w:rFonts w:ascii="MS Reference Sans Serif" w:hAnsi="MS Reference Sans Serif" w:cs="Times New Roman"/>
                <w:i/>
                <w:vertAlign w:val="superscript"/>
              </w:rPr>
              <w:t>a</w:t>
            </w:r>
            <w:r w:rsidRPr="00E33192">
              <w:rPr>
                <w:rFonts w:ascii="MS Reference Sans Serif" w:hAnsi="MS Reference Sans Serif" w:cs="Times New Roman"/>
              </w:rPr>
              <w:t>)</w:t>
            </w:r>
          </w:p>
        </w:tc>
      </w:tr>
      <w:tr w:rsidR="002D193C" w:rsidRPr="00E33192" w14:paraId="1CEE491C" w14:textId="77777777" w:rsidTr="00DB7F0B">
        <w:trPr>
          <w:gridAfter w:val="1"/>
          <w:wAfter w:w="108" w:type="dxa"/>
          <w:trHeight w:val="472"/>
        </w:trPr>
        <w:tc>
          <w:tcPr>
            <w:tcW w:w="2822" w:type="dxa"/>
            <w:gridSpan w:val="2"/>
            <w:tcBorders>
              <w:top w:val="single" w:sz="12" w:space="0" w:color="auto"/>
            </w:tcBorders>
          </w:tcPr>
          <w:p w14:paraId="2501709B" w14:textId="77777777" w:rsidR="002D193C" w:rsidRPr="00E33192" w:rsidRDefault="002D193C" w:rsidP="002D193C">
            <w:pPr>
              <w:ind w:left="342" w:hanging="270"/>
              <w:contextualSpacing/>
              <w:rPr>
                <w:rFonts w:ascii="MS Reference Sans Serif" w:hAnsi="MS Reference Sans Serif" w:cs="Times New Roman"/>
              </w:rPr>
            </w:pPr>
            <w:r w:rsidRPr="00E33192">
              <w:rPr>
                <w:rFonts w:ascii="MS Reference Sans Serif" w:hAnsi="MS Reference Sans Serif" w:cs="Times New Roman"/>
              </w:rPr>
              <w:t>Joint Productive Activity</w:t>
            </w:r>
          </w:p>
        </w:tc>
        <w:tc>
          <w:tcPr>
            <w:tcW w:w="1314" w:type="dxa"/>
            <w:gridSpan w:val="2"/>
            <w:tcBorders>
              <w:top w:val="single" w:sz="12" w:space="0" w:color="auto"/>
            </w:tcBorders>
          </w:tcPr>
          <w:p w14:paraId="4349A25B"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-0.01 (0.62)</w:t>
            </w:r>
          </w:p>
        </w:tc>
        <w:tc>
          <w:tcPr>
            <w:tcW w:w="1314" w:type="dxa"/>
            <w:gridSpan w:val="2"/>
            <w:tcBorders>
              <w:top w:val="single" w:sz="12" w:space="0" w:color="auto"/>
            </w:tcBorders>
          </w:tcPr>
          <w:p w14:paraId="7AE651CD"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0.76 (0.58)</w:t>
            </w:r>
          </w:p>
        </w:tc>
        <w:tc>
          <w:tcPr>
            <w:tcW w:w="1314" w:type="dxa"/>
            <w:gridSpan w:val="2"/>
            <w:tcBorders>
              <w:top w:val="single" w:sz="12" w:space="0" w:color="auto"/>
            </w:tcBorders>
          </w:tcPr>
          <w:p w14:paraId="70DD1005"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&lt;0.001</w:t>
            </w:r>
          </w:p>
        </w:tc>
        <w:tc>
          <w:tcPr>
            <w:tcW w:w="1314" w:type="dxa"/>
            <w:gridSpan w:val="2"/>
            <w:tcBorders>
              <w:top w:val="single" w:sz="12" w:space="0" w:color="auto"/>
            </w:tcBorders>
          </w:tcPr>
          <w:p w14:paraId="6BBC750B"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0.914</w:t>
            </w:r>
          </w:p>
        </w:tc>
        <w:tc>
          <w:tcPr>
            <w:tcW w:w="1314" w:type="dxa"/>
            <w:gridSpan w:val="2"/>
            <w:tcBorders>
              <w:top w:val="single" w:sz="12" w:space="0" w:color="auto"/>
            </w:tcBorders>
          </w:tcPr>
          <w:p w14:paraId="37E3101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1.27</w:t>
            </w:r>
          </w:p>
        </w:tc>
      </w:tr>
      <w:tr w:rsidR="002D193C" w:rsidRPr="00E33192" w14:paraId="0CA35DEF" w14:textId="77777777" w:rsidTr="00DB7F0B">
        <w:trPr>
          <w:gridAfter w:val="1"/>
          <w:wAfter w:w="108" w:type="dxa"/>
          <w:trHeight w:val="472"/>
        </w:trPr>
        <w:tc>
          <w:tcPr>
            <w:tcW w:w="2822" w:type="dxa"/>
            <w:gridSpan w:val="2"/>
          </w:tcPr>
          <w:p w14:paraId="7C777476" w14:textId="77777777" w:rsidR="002D193C" w:rsidRPr="00E33192" w:rsidRDefault="002D193C" w:rsidP="002D193C">
            <w:pPr>
              <w:ind w:left="342" w:hanging="270"/>
              <w:contextualSpacing/>
              <w:rPr>
                <w:rFonts w:ascii="MS Reference Sans Serif" w:hAnsi="MS Reference Sans Serif" w:cs="Times New Roman"/>
              </w:rPr>
            </w:pPr>
            <w:r w:rsidRPr="00E33192">
              <w:rPr>
                <w:rFonts w:ascii="MS Reference Sans Serif" w:hAnsi="MS Reference Sans Serif" w:cs="Times New Roman"/>
              </w:rPr>
              <w:t>Lang. &amp; Lit. Development</w:t>
            </w:r>
          </w:p>
        </w:tc>
        <w:tc>
          <w:tcPr>
            <w:tcW w:w="1314" w:type="dxa"/>
            <w:gridSpan w:val="2"/>
          </w:tcPr>
          <w:p w14:paraId="0DBBC30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0.00 (0.74)</w:t>
            </w:r>
          </w:p>
        </w:tc>
        <w:tc>
          <w:tcPr>
            <w:tcW w:w="1314" w:type="dxa"/>
            <w:gridSpan w:val="2"/>
          </w:tcPr>
          <w:p w14:paraId="773606F5"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0.54 (0.59)</w:t>
            </w:r>
          </w:p>
        </w:tc>
        <w:tc>
          <w:tcPr>
            <w:tcW w:w="1314" w:type="dxa"/>
            <w:gridSpan w:val="2"/>
          </w:tcPr>
          <w:p w14:paraId="6EB5EB46"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0.009</w:t>
            </w:r>
          </w:p>
        </w:tc>
        <w:tc>
          <w:tcPr>
            <w:tcW w:w="1314" w:type="dxa"/>
            <w:gridSpan w:val="2"/>
          </w:tcPr>
          <w:p w14:paraId="540FC97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0.268</w:t>
            </w:r>
          </w:p>
        </w:tc>
        <w:tc>
          <w:tcPr>
            <w:tcW w:w="1314" w:type="dxa"/>
            <w:gridSpan w:val="2"/>
          </w:tcPr>
          <w:p w14:paraId="7CB025B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0.81</w:t>
            </w:r>
          </w:p>
        </w:tc>
      </w:tr>
      <w:tr w:rsidR="002D193C" w:rsidRPr="00E33192" w14:paraId="51C9DA40" w14:textId="77777777" w:rsidTr="00DB7F0B">
        <w:trPr>
          <w:gridAfter w:val="1"/>
          <w:wAfter w:w="108" w:type="dxa"/>
          <w:trHeight w:val="472"/>
        </w:trPr>
        <w:tc>
          <w:tcPr>
            <w:tcW w:w="2822" w:type="dxa"/>
            <w:gridSpan w:val="2"/>
          </w:tcPr>
          <w:p w14:paraId="725750E5" w14:textId="77777777" w:rsidR="002D193C" w:rsidRPr="00E33192" w:rsidRDefault="002D193C" w:rsidP="002D193C">
            <w:pPr>
              <w:ind w:left="342" w:hanging="270"/>
              <w:contextualSpacing/>
              <w:rPr>
                <w:rFonts w:ascii="MS Reference Sans Serif" w:hAnsi="MS Reference Sans Serif" w:cs="Times New Roman"/>
              </w:rPr>
            </w:pPr>
            <w:r w:rsidRPr="00E33192">
              <w:rPr>
                <w:rFonts w:ascii="MS Reference Sans Serif" w:hAnsi="MS Reference Sans Serif" w:cs="Times New Roman"/>
              </w:rPr>
              <w:t xml:space="preserve">Contextualization </w:t>
            </w:r>
          </w:p>
          <w:p w14:paraId="1AC74E71" w14:textId="77777777" w:rsidR="002D193C" w:rsidRPr="00E33192" w:rsidRDefault="002D193C" w:rsidP="002D193C">
            <w:pPr>
              <w:ind w:left="342" w:hanging="270"/>
              <w:contextualSpacing/>
              <w:rPr>
                <w:rFonts w:ascii="MS Reference Sans Serif" w:hAnsi="MS Reference Sans Serif" w:cs="Times New Roman"/>
              </w:rPr>
            </w:pPr>
          </w:p>
        </w:tc>
        <w:tc>
          <w:tcPr>
            <w:tcW w:w="1314" w:type="dxa"/>
            <w:gridSpan w:val="2"/>
          </w:tcPr>
          <w:p w14:paraId="6B18F23B"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0.13 (0.63)</w:t>
            </w:r>
          </w:p>
        </w:tc>
        <w:tc>
          <w:tcPr>
            <w:tcW w:w="1314" w:type="dxa"/>
            <w:gridSpan w:val="2"/>
          </w:tcPr>
          <w:p w14:paraId="3711AF9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0.42 (0.84)</w:t>
            </w:r>
          </w:p>
        </w:tc>
        <w:tc>
          <w:tcPr>
            <w:tcW w:w="1314" w:type="dxa"/>
            <w:gridSpan w:val="2"/>
          </w:tcPr>
          <w:p w14:paraId="3C899B3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0.191</w:t>
            </w:r>
          </w:p>
        </w:tc>
        <w:tc>
          <w:tcPr>
            <w:tcW w:w="1314" w:type="dxa"/>
            <w:gridSpan w:val="2"/>
          </w:tcPr>
          <w:p w14:paraId="0613FCF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0.258</w:t>
            </w:r>
          </w:p>
        </w:tc>
        <w:tc>
          <w:tcPr>
            <w:tcW w:w="1314" w:type="dxa"/>
            <w:gridSpan w:val="2"/>
          </w:tcPr>
          <w:p w14:paraId="47DBAEB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w:t>
            </w:r>
          </w:p>
        </w:tc>
      </w:tr>
      <w:tr w:rsidR="002D193C" w:rsidRPr="00E33192" w14:paraId="04E0874C" w14:textId="77777777" w:rsidTr="00DB7F0B">
        <w:trPr>
          <w:gridAfter w:val="1"/>
          <w:wAfter w:w="108" w:type="dxa"/>
          <w:trHeight w:val="472"/>
        </w:trPr>
        <w:tc>
          <w:tcPr>
            <w:tcW w:w="2822" w:type="dxa"/>
            <w:gridSpan w:val="2"/>
          </w:tcPr>
          <w:p w14:paraId="47C69F31" w14:textId="77777777" w:rsidR="002D193C" w:rsidRPr="00E33192" w:rsidRDefault="002D193C" w:rsidP="002D193C">
            <w:pPr>
              <w:ind w:left="342" w:hanging="270"/>
              <w:contextualSpacing/>
              <w:rPr>
                <w:rFonts w:ascii="MS Reference Sans Serif" w:hAnsi="MS Reference Sans Serif" w:cs="Times New Roman"/>
              </w:rPr>
            </w:pPr>
            <w:r w:rsidRPr="00E33192">
              <w:rPr>
                <w:rFonts w:ascii="MS Reference Sans Serif" w:hAnsi="MS Reference Sans Serif" w:cs="Times New Roman"/>
              </w:rPr>
              <w:t>Challenging Activities</w:t>
            </w:r>
          </w:p>
          <w:p w14:paraId="29D601C1" w14:textId="77777777" w:rsidR="002D193C" w:rsidRPr="00E33192" w:rsidRDefault="002D193C" w:rsidP="002D193C">
            <w:pPr>
              <w:contextualSpacing/>
              <w:rPr>
                <w:rFonts w:ascii="MS Reference Sans Serif" w:hAnsi="MS Reference Sans Serif" w:cs="Times New Roman"/>
              </w:rPr>
            </w:pPr>
          </w:p>
        </w:tc>
        <w:tc>
          <w:tcPr>
            <w:tcW w:w="1314" w:type="dxa"/>
            <w:gridSpan w:val="2"/>
          </w:tcPr>
          <w:p w14:paraId="120E129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-0.26 (0.49)</w:t>
            </w:r>
          </w:p>
        </w:tc>
        <w:tc>
          <w:tcPr>
            <w:tcW w:w="1314" w:type="dxa"/>
            <w:gridSpan w:val="2"/>
          </w:tcPr>
          <w:p w14:paraId="40ED1881"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0.67 (0.53)</w:t>
            </w:r>
          </w:p>
        </w:tc>
        <w:tc>
          <w:tcPr>
            <w:tcW w:w="1314" w:type="dxa"/>
            <w:gridSpan w:val="2"/>
          </w:tcPr>
          <w:p w14:paraId="62D1F649"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&lt;0.001</w:t>
            </w:r>
          </w:p>
        </w:tc>
        <w:tc>
          <w:tcPr>
            <w:tcW w:w="1314" w:type="dxa"/>
            <w:gridSpan w:val="2"/>
          </w:tcPr>
          <w:p w14:paraId="2BE23E2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0.697</w:t>
            </w:r>
          </w:p>
        </w:tc>
        <w:tc>
          <w:tcPr>
            <w:tcW w:w="1314" w:type="dxa"/>
            <w:gridSpan w:val="2"/>
          </w:tcPr>
          <w:p w14:paraId="21779D76"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1.82</w:t>
            </w:r>
          </w:p>
        </w:tc>
      </w:tr>
      <w:tr w:rsidR="002D193C" w:rsidRPr="00E33192" w14:paraId="23501818" w14:textId="77777777" w:rsidTr="00DB7F0B">
        <w:trPr>
          <w:gridAfter w:val="1"/>
          <w:wAfter w:w="108" w:type="dxa"/>
          <w:trHeight w:val="472"/>
        </w:trPr>
        <w:tc>
          <w:tcPr>
            <w:tcW w:w="2822" w:type="dxa"/>
            <w:gridSpan w:val="2"/>
          </w:tcPr>
          <w:p w14:paraId="34B31067" w14:textId="77777777" w:rsidR="002D193C" w:rsidRPr="00E33192" w:rsidRDefault="002D193C" w:rsidP="002D193C">
            <w:pPr>
              <w:ind w:left="342" w:hanging="270"/>
              <w:contextualSpacing/>
              <w:rPr>
                <w:rFonts w:ascii="MS Reference Sans Serif" w:hAnsi="MS Reference Sans Serif" w:cs="Times New Roman"/>
              </w:rPr>
            </w:pPr>
            <w:r w:rsidRPr="00E33192">
              <w:rPr>
                <w:rFonts w:ascii="MS Reference Sans Serif" w:hAnsi="MS Reference Sans Serif" w:cs="Times New Roman"/>
              </w:rPr>
              <w:t>Instructional Conversations</w:t>
            </w:r>
          </w:p>
        </w:tc>
        <w:tc>
          <w:tcPr>
            <w:tcW w:w="1314" w:type="dxa"/>
            <w:gridSpan w:val="2"/>
          </w:tcPr>
          <w:p w14:paraId="5489162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0.52 (0.69)</w:t>
            </w:r>
          </w:p>
        </w:tc>
        <w:tc>
          <w:tcPr>
            <w:tcW w:w="1314" w:type="dxa"/>
            <w:gridSpan w:val="2"/>
          </w:tcPr>
          <w:p w14:paraId="2A24EFF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0.83 (0.60)</w:t>
            </w:r>
          </w:p>
        </w:tc>
        <w:tc>
          <w:tcPr>
            <w:tcW w:w="1314" w:type="dxa"/>
            <w:gridSpan w:val="2"/>
          </w:tcPr>
          <w:p w14:paraId="6616262D"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&lt;0.001</w:t>
            </w:r>
          </w:p>
        </w:tc>
        <w:tc>
          <w:tcPr>
            <w:tcW w:w="1314" w:type="dxa"/>
            <w:gridSpan w:val="2"/>
          </w:tcPr>
          <w:p w14:paraId="7AC3719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0.828</w:t>
            </w:r>
          </w:p>
        </w:tc>
        <w:tc>
          <w:tcPr>
            <w:tcW w:w="1314" w:type="dxa"/>
            <w:gridSpan w:val="2"/>
          </w:tcPr>
          <w:p w14:paraId="36E8FD7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1.20</w:t>
            </w:r>
          </w:p>
        </w:tc>
      </w:tr>
      <w:tr w:rsidR="002D193C" w:rsidRPr="00E33192" w14:paraId="3CE47C39" w14:textId="77777777" w:rsidTr="00DB7F0B">
        <w:trPr>
          <w:gridAfter w:val="1"/>
          <w:wAfter w:w="108" w:type="dxa"/>
          <w:trHeight w:val="472"/>
        </w:trPr>
        <w:tc>
          <w:tcPr>
            <w:tcW w:w="2822" w:type="dxa"/>
            <w:gridSpan w:val="2"/>
            <w:tcBorders>
              <w:bottom w:val="single" w:sz="12" w:space="0" w:color="auto"/>
            </w:tcBorders>
          </w:tcPr>
          <w:p w14:paraId="52B91919" w14:textId="140B82E4" w:rsidR="002D193C" w:rsidRPr="00E33192" w:rsidRDefault="006D555A" w:rsidP="002D193C">
            <w:pPr>
              <w:ind w:left="342" w:hanging="270"/>
              <w:contextualSpacing/>
              <w:rPr>
                <w:rFonts w:ascii="MS Reference Sans Serif" w:hAnsi="MS Reference Sans Serif" w:cs="Times New Roman"/>
              </w:rPr>
            </w:pPr>
            <w:r>
              <w:rPr>
                <w:rFonts w:ascii="MS Reference Sans Serif" w:hAnsi="MS Reference Sans Serif" w:cs="Times New Roman"/>
              </w:rPr>
              <w:t>ISCRT</w:t>
            </w:r>
            <w:r w:rsidR="002D193C" w:rsidRPr="00E33192">
              <w:rPr>
                <w:rFonts w:ascii="MS Reference Sans Serif" w:hAnsi="MS Reference Sans Serif" w:cs="Times New Roman"/>
              </w:rPr>
              <w:t xml:space="preserve"> Composite</w:t>
            </w:r>
          </w:p>
        </w:tc>
        <w:tc>
          <w:tcPr>
            <w:tcW w:w="1314" w:type="dxa"/>
            <w:gridSpan w:val="2"/>
            <w:tcBorders>
              <w:bottom w:val="single" w:sz="12" w:space="0" w:color="auto"/>
            </w:tcBorders>
          </w:tcPr>
          <w:p w14:paraId="2204BFC2"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0.18 (0.75)</w:t>
            </w:r>
          </w:p>
        </w:tc>
        <w:tc>
          <w:tcPr>
            <w:tcW w:w="1314" w:type="dxa"/>
            <w:gridSpan w:val="2"/>
            <w:tcBorders>
              <w:bottom w:val="single" w:sz="12" w:space="0" w:color="auto"/>
            </w:tcBorders>
          </w:tcPr>
          <w:p w14:paraId="2B3D29A1"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1.08 (0.75)</w:t>
            </w:r>
          </w:p>
        </w:tc>
        <w:tc>
          <w:tcPr>
            <w:tcW w:w="1314" w:type="dxa"/>
            <w:gridSpan w:val="2"/>
            <w:tcBorders>
              <w:bottom w:val="single" w:sz="12" w:space="0" w:color="auto"/>
            </w:tcBorders>
          </w:tcPr>
          <w:p w14:paraId="6472C926"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&lt;0.001</w:t>
            </w:r>
          </w:p>
        </w:tc>
        <w:tc>
          <w:tcPr>
            <w:tcW w:w="1314" w:type="dxa"/>
            <w:gridSpan w:val="2"/>
            <w:tcBorders>
              <w:bottom w:val="single" w:sz="12" w:space="0" w:color="auto"/>
            </w:tcBorders>
          </w:tcPr>
          <w:p w14:paraId="229B9178"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0.875</w:t>
            </w:r>
          </w:p>
        </w:tc>
        <w:tc>
          <w:tcPr>
            <w:tcW w:w="1314" w:type="dxa"/>
            <w:gridSpan w:val="2"/>
            <w:tcBorders>
              <w:bottom w:val="single" w:sz="12" w:space="0" w:color="auto"/>
            </w:tcBorders>
          </w:tcPr>
          <w:p w14:paraId="45287A31"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0.83</w:t>
            </w:r>
          </w:p>
        </w:tc>
      </w:tr>
    </w:tbl>
    <w:p w14:paraId="247E690E" w14:textId="77777777" w:rsidR="002D193C" w:rsidRPr="00E33192" w:rsidRDefault="002D193C" w:rsidP="002D193C">
      <w:pPr>
        <w:contextualSpacing/>
        <w:jc w:val="left"/>
        <w:rPr>
          <w:rFonts w:ascii="MS Reference Sans Serif" w:hAnsi="MS Reference Sans Serif"/>
          <w:i/>
          <w:sz w:val="22"/>
        </w:rPr>
      </w:pPr>
    </w:p>
    <w:p w14:paraId="7724E9BA" w14:textId="593B6B17"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i/>
          <w:sz w:val="22"/>
        </w:rPr>
        <w:t>Note:</w:t>
      </w:r>
      <w:r w:rsidRPr="00E33192">
        <w:rPr>
          <w:rFonts w:ascii="MS Reference Sans Serif" w:hAnsi="MS Reference Sans Serif"/>
          <w:i/>
          <w:sz w:val="22"/>
          <w:vertAlign w:val="superscript"/>
        </w:rPr>
        <w:t xml:space="preserve"> </w:t>
      </w:r>
      <w:proofErr w:type="spellStart"/>
      <w:r w:rsidRPr="00E33192">
        <w:rPr>
          <w:rFonts w:ascii="MS Reference Sans Serif" w:hAnsi="MS Reference Sans Serif"/>
          <w:i/>
          <w:sz w:val="22"/>
          <w:vertAlign w:val="superscript"/>
        </w:rPr>
        <w:t>a</w:t>
      </w:r>
      <w:r w:rsidRPr="00E33192">
        <w:rPr>
          <w:rFonts w:ascii="MS Reference Sans Serif" w:hAnsi="MS Reference Sans Serif"/>
          <w:sz w:val="22"/>
        </w:rPr>
        <w:t>Cohen</w:t>
      </w:r>
      <w:proofErr w:type="spellEnd"/>
      <w:r w:rsidRPr="00E33192">
        <w:rPr>
          <w:rFonts w:ascii="MS Reference Sans Serif" w:hAnsi="MS Reference Sans Serif"/>
          <w:sz w:val="22"/>
        </w:rPr>
        <w:t xml:space="preserve"> (1988)</w:t>
      </w:r>
      <w:bookmarkEnd w:id="7"/>
    </w:p>
    <w:p w14:paraId="5E277A0E" w14:textId="02946943"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lastRenderedPageBreak/>
        <w:t>For all standards and the composite score</w:t>
      </w:r>
      <w:r w:rsidR="008C25D3">
        <w:rPr>
          <w:rFonts w:ascii="MS Reference Sans Serif" w:hAnsi="MS Reference Sans Serif"/>
          <w:sz w:val="22"/>
        </w:rPr>
        <w:t>, with the</w:t>
      </w:r>
      <w:r w:rsidRPr="00E33192">
        <w:rPr>
          <w:rFonts w:ascii="MS Reference Sans Serif" w:hAnsi="MS Reference Sans Serif"/>
          <w:sz w:val="22"/>
        </w:rPr>
        <w:t xml:space="preserve"> except</w:t>
      </w:r>
      <w:r w:rsidR="008C25D3">
        <w:rPr>
          <w:rFonts w:ascii="MS Reference Sans Serif" w:hAnsi="MS Reference Sans Serif"/>
          <w:sz w:val="22"/>
        </w:rPr>
        <w:t>ion of</w:t>
      </w:r>
      <w:r w:rsidRPr="00E33192">
        <w:rPr>
          <w:rFonts w:ascii="MS Reference Sans Serif" w:hAnsi="MS Reference Sans Serif"/>
          <w:sz w:val="22"/>
        </w:rPr>
        <w:t xml:space="preserve"> the standard </w:t>
      </w:r>
      <w:r w:rsidRPr="005615D4">
        <w:rPr>
          <w:rFonts w:ascii="MS Reference Sans Serif" w:hAnsi="MS Reference Sans Serif"/>
          <w:iCs/>
          <w:sz w:val="22"/>
        </w:rPr>
        <w:t xml:space="preserve">Contextualization, </w:t>
      </w:r>
      <w:r w:rsidRPr="00E33192">
        <w:rPr>
          <w:rFonts w:ascii="MS Reference Sans Serif" w:hAnsi="MS Reference Sans Serif"/>
          <w:sz w:val="22"/>
        </w:rPr>
        <w:t xml:space="preserve">there were significant results for the difference in scores in favor of the treatment group. Combining the results of the significance test with an examination of the means suggests there were significant differences between the groups’ </w:t>
      </w:r>
      <w:r w:rsidR="006D555A">
        <w:rPr>
          <w:rFonts w:ascii="MS Reference Sans Serif" w:hAnsi="MS Reference Sans Serif"/>
          <w:sz w:val="22"/>
        </w:rPr>
        <w:t>ISCRT</w:t>
      </w:r>
      <w:r w:rsidRPr="00E33192">
        <w:rPr>
          <w:rFonts w:ascii="MS Reference Sans Serif" w:hAnsi="MS Reference Sans Serif"/>
          <w:sz w:val="22"/>
        </w:rPr>
        <w:t xml:space="preserve"> observation scores, with the treatment teachers’ scores increasing in observed levels of CRT over time. Effect sizes were also calculated using Cohen’s </w:t>
      </w:r>
      <w:r w:rsidRPr="00E33192">
        <w:rPr>
          <w:rFonts w:ascii="MS Reference Sans Serif" w:hAnsi="MS Reference Sans Serif"/>
          <w:i/>
          <w:sz w:val="22"/>
        </w:rPr>
        <w:t>d</w:t>
      </w:r>
      <w:r w:rsidRPr="00E33192">
        <w:rPr>
          <w:rFonts w:ascii="MS Reference Sans Serif" w:hAnsi="MS Reference Sans Serif"/>
          <w:sz w:val="22"/>
        </w:rPr>
        <w:t xml:space="preserve"> (1988). Cohen’s </w:t>
      </w:r>
      <w:r w:rsidRPr="00E33192">
        <w:rPr>
          <w:rFonts w:ascii="MS Reference Sans Serif" w:hAnsi="MS Reference Sans Serif"/>
          <w:i/>
          <w:sz w:val="22"/>
        </w:rPr>
        <w:t>d</w:t>
      </w:r>
      <w:r w:rsidRPr="00E33192">
        <w:rPr>
          <w:rFonts w:ascii="MS Reference Sans Serif" w:hAnsi="MS Reference Sans Serif"/>
          <w:sz w:val="22"/>
        </w:rPr>
        <w:t xml:space="preserve"> effect size ranged from 0.81 for the standard </w:t>
      </w:r>
      <w:r w:rsidRPr="005615D4">
        <w:rPr>
          <w:rFonts w:ascii="MS Reference Sans Serif" w:hAnsi="MS Reference Sans Serif"/>
          <w:iCs/>
          <w:sz w:val="22"/>
        </w:rPr>
        <w:t>Language and Literacy Development to 1.82 for the standard Challenging Activities.</w:t>
      </w:r>
      <w:r w:rsidRPr="00E33192">
        <w:rPr>
          <w:rFonts w:ascii="MS Reference Sans Serif" w:hAnsi="MS Reference Sans Serif"/>
          <w:sz w:val="22"/>
        </w:rPr>
        <w:t xml:space="preserve"> This suggests the treatment and control groups differed by 0.81 to 1.82 standard deviations on four standards: </w:t>
      </w:r>
      <w:r w:rsidRPr="005615D4">
        <w:rPr>
          <w:rFonts w:ascii="MS Reference Sans Serif" w:hAnsi="MS Reference Sans Serif"/>
          <w:iCs/>
          <w:sz w:val="22"/>
        </w:rPr>
        <w:t>Joint Productive Activity (d</w:t>
      </w:r>
      <w:r w:rsidR="006B137C" w:rsidRPr="005615D4">
        <w:rPr>
          <w:rFonts w:ascii="MS Reference Sans Serif" w:hAnsi="MS Reference Sans Serif"/>
          <w:iCs/>
          <w:sz w:val="22"/>
        </w:rPr>
        <w:t xml:space="preserve"> = </w:t>
      </w:r>
      <w:r w:rsidRPr="005615D4">
        <w:rPr>
          <w:rFonts w:ascii="MS Reference Sans Serif" w:hAnsi="MS Reference Sans Serif"/>
          <w:iCs/>
          <w:sz w:val="22"/>
        </w:rPr>
        <w:t>1.27); Language and Literacy Development (d</w:t>
      </w:r>
      <w:r w:rsidR="006B137C" w:rsidRPr="005615D4">
        <w:rPr>
          <w:rFonts w:ascii="MS Reference Sans Serif" w:hAnsi="MS Reference Sans Serif"/>
          <w:iCs/>
          <w:sz w:val="22"/>
        </w:rPr>
        <w:t xml:space="preserve"> = </w:t>
      </w:r>
      <w:r w:rsidRPr="005615D4">
        <w:rPr>
          <w:rFonts w:ascii="MS Reference Sans Serif" w:hAnsi="MS Reference Sans Serif"/>
          <w:iCs/>
          <w:sz w:val="22"/>
        </w:rPr>
        <w:t>0.81), Challenging Activities (d</w:t>
      </w:r>
      <w:r w:rsidR="006B137C" w:rsidRPr="005615D4">
        <w:rPr>
          <w:rFonts w:ascii="MS Reference Sans Serif" w:hAnsi="MS Reference Sans Serif"/>
          <w:iCs/>
          <w:sz w:val="22"/>
        </w:rPr>
        <w:t xml:space="preserve"> = </w:t>
      </w:r>
      <w:r w:rsidRPr="005615D4">
        <w:rPr>
          <w:rFonts w:ascii="MS Reference Sans Serif" w:hAnsi="MS Reference Sans Serif"/>
          <w:iCs/>
          <w:sz w:val="22"/>
        </w:rPr>
        <w:t>1.82), and Instructional Conversations (d</w:t>
      </w:r>
      <w:r w:rsidR="006B137C" w:rsidRPr="005615D4">
        <w:rPr>
          <w:rFonts w:ascii="MS Reference Sans Serif" w:hAnsi="MS Reference Sans Serif"/>
          <w:iCs/>
          <w:sz w:val="22"/>
        </w:rPr>
        <w:t xml:space="preserve"> = </w:t>
      </w:r>
      <w:r w:rsidRPr="005615D4">
        <w:rPr>
          <w:rFonts w:ascii="MS Reference Sans Serif" w:hAnsi="MS Reference Sans Serif"/>
          <w:iCs/>
          <w:sz w:val="22"/>
        </w:rPr>
        <w:t>1.20),</w:t>
      </w:r>
      <w:r w:rsidRPr="00E33192">
        <w:rPr>
          <w:rFonts w:ascii="MS Reference Sans Serif" w:hAnsi="MS Reference Sans Serif"/>
          <w:i/>
          <w:sz w:val="22"/>
        </w:rPr>
        <w:t xml:space="preserve"> </w:t>
      </w:r>
      <w:r w:rsidRPr="00E33192">
        <w:rPr>
          <w:rFonts w:ascii="MS Reference Sans Serif" w:hAnsi="MS Reference Sans Serif"/>
          <w:sz w:val="22"/>
        </w:rPr>
        <w:t>as well as the composite score (</w:t>
      </w:r>
      <w:r w:rsidRPr="00E33192">
        <w:rPr>
          <w:rFonts w:ascii="MS Reference Sans Serif" w:hAnsi="MS Reference Sans Serif"/>
          <w:i/>
          <w:sz w:val="22"/>
        </w:rPr>
        <w:t>d</w:t>
      </w:r>
      <w:r w:rsidR="006B137C">
        <w:rPr>
          <w:rFonts w:ascii="MS Reference Sans Serif" w:hAnsi="MS Reference Sans Serif"/>
          <w:sz w:val="22"/>
        </w:rPr>
        <w:t xml:space="preserve"> = </w:t>
      </w:r>
      <w:r w:rsidRPr="00E33192">
        <w:rPr>
          <w:rFonts w:ascii="MS Reference Sans Serif" w:hAnsi="MS Reference Sans Serif"/>
          <w:sz w:val="22"/>
        </w:rPr>
        <w:t>0.83). Additional visual analyses of the plots of the pre- and post-estimated marginal means separated by control and treatment supported these findings.</w:t>
      </w:r>
      <w:r w:rsidR="00316D42">
        <w:rPr>
          <w:rFonts w:ascii="MS Reference Sans Serif" w:hAnsi="MS Reference Sans Serif"/>
          <w:sz w:val="22"/>
        </w:rPr>
        <w:t xml:space="preserve"> </w:t>
      </w:r>
      <w:bookmarkStart w:id="8" w:name="_Hlk32410255"/>
    </w:p>
    <w:bookmarkEnd w:id="8"/>
    <w:p w14:paraId="2B826419" w14:textId="77777777" w:rsidR="002D193C" w:rsidRPr="00A43816" w:rsidRDefault="002D193C" w:rsidP="002D193C">
      <w:pPr>
        <w:jc w:val="left"/>
        <w:rPr>
          <w:rFonts w:ascii="MS Reference Sans Serif" w:hAnsi="MS Reference Sans Serif"/>
          <w:b/>
          <w:sz w:val="22"/>
        </w:rPr>
      </w:pPr>
    </w:p>
    <w:p w14:paraId="4446D3F8" w14:textId="7920CCFE" w:rsidR="002D193C" w:rsidRPr="004321B7" w:rsidRDefault="002D193C" w:rsidP="002D193C">
      <w:pPr>
        <w:autoSpaceDE w:val="0"/>
        <w:autoSpaceDN w:val="0"/>
        <w:adjustRightInd w:val="0"/>
        <w:contextualSpacing/>
        <w:jc w:val="left"/>
        <w:rPr>
          <w:rFonts w:ascii="MS Reference Sans Serif" w:hAnsi="MS Reference Sans Serif"/>
          <w:iCs/>
          <w:sz w:val="22"/>
        </w:rPr>
      </w:pPr>
      <w:r w:rsidRPr="00E33192">
        <w:rPr>
          <w:rFonts w:ascii="MS Reference Sans Serif" w:hAnsi="MS Reference Sans Serif"/>
          <w:sz w:val="22"/>
        </w:rPr>
        <w:t xml:space="preserve">These analyses suggest there is a positive difference for the treatment group across trials on the composite score and the standards </w:t>
      </w:r>
      <w:r w:rsidRPr="004321B7">
        <w:rPr>
          <w:rFonts w:ascii="MS Reference Sans Serif" w:hAnsi="MS Reference Sans Serif"/>
          <w:iCs/>
          <w:sz w:val="22"/>
        </w:rPr>
        <w:t>Joint Productive Activity, Language and Literacy Development, Challenging Activities, and Instructional Conversation.</w:t>
      </w:r>
    </w:p>
    <w:p w14:paraId="7A651F49" w14:textId="77777777" w:rsidR="00D670DE" w:rsidRPr="00E33192" w:rsidRDefault="00D670DE" w:rsidP="002D193C">
      <w:pPr>
        <w:autoSpaceDE w:val="0"/>
        <w:autoSpaceDN w:val="0"/>
        <w:adjustRightInd w:val="0"/>
        <w:contextualSpacing/>
        <w:jc w:val="left"/>
        <w:rPr>
          <w:rFonts w:ascii="MS Reference Sans Serif" w:hAnsi="MS Reference Sans Serif"/>
          <w:sz w:val="22"/>
        </w:rPr>
      </w:pPr>
    </w:p>
    <w:p w14:paraId="6C3EB678" w14:textId="77777777" w:rsidR="002D193C" w:rsidRPr="002B01BA" w:rsidRDefault="002D193C" w:rsidP="002D193C">
      <w:pPr>
        <w:pStyle w:val="Heading2"/>
        <w:jc w:val="left"/>
        <w:rPr>
          <w:rFonts w:ascii="MS Reference Sans Serif" w:hAnsi="MS Reference Sans Serif"/>
          <w:b/>
          <w:bCs/>
          <w:i/>
          <w:color w:val="auto"/>
          <w:sz w:val="22"/>
          <w:szCs w:val="22"/>
        </w:rPr>
      </w:pPr>
      <w:bookmarkStart w:id="9" w:name="_Hlk32410363"/>
      <w:r w:rsidRPr="002B01BA">
        <w:rPr>
          <w:rFonts w:ascii="MS Reference Sans Serif" w:hAnsi="MS Reference Sans Serif"/>
          <w:b/>
          <w:bCs/>
          <w:color w:val="auto"/>
          <w:sz w:val="22"/>
          <w:szCs w:val="22"/>
        </w:rPr>
        <w:t>Treatment Teachers’ Perceptions of Effectiveness of the Online Courses</w:t>
      </w:r>
    </w:p>
    <w:p w14:paraId="3CEB1095" w14:textId="77777777" w:rsidR="002D193C" w:rsidRPr="00B46FDC" w:rsidRDefault="002D193C" w:rsidP="002D193C">
      <w:pPr>
        <w:jc w:val="left"/>
      </w:pPr>
    </w:p>
    <w:p w14:paraId="20E7E8B1" w14:textId="77777777" w:rsidR="002D193C"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Treatment teachers’ responses on Likert-scale questions regarding the effectiveness of each course were aggregated to obtain an overall percentage of perceived effectiveness. The number of effectiveness questions per course ranged from one to three, so responses were averaged by participant per course before being aggregated for the overall course effectiveness rating. Percentages of survey responses indicating “</w:t>
      </w:r>
      <w:bookmarkStart w:id="10" w:name="_Hlk32410597"/>
      <w:r w:rsidRPr="00E33192">
        <w:rPr>
          <w:rFonts w:ascii="MS Reference Sans Serif" w:hAnsi="MS Reference Sans Serif"/>
          <w:sz w:val="22"/>
        </w:rPr>
        <w:t xml:space="preserve">Effective” or “Very Effective” </w:t>
      </w:r>
      <w:bookmarkEnd w:id="10"/>
      <w:r w:rsidRPr="00E33192">
        <w:rPr>
          <w:rFonts w:ascii="MS Reference Sans Serif" w:hAnsi="MS Reference Sans Serif"/>
          <w:sz w:val="22"/>
        </w:rPr>
        <w:t xml:space="preserve">are reported in Figure </w:t>
      </w:r>
      <w:r>
        <w:rPr>
          <w:rFonts w:ascii="MS Reference Sans Serif" w:hAnsi="MS Reference Sans Serif"/>
          <w:sz w:val="22"/>
        </w:rPr>
        <w:t>1</w:t>
      </w:r>
      <w:r w:rsidRPr="00E33192">
        <w:rPr>
          <w:rFonts w:ascii="MS Reference Sans Serif" w:hAnsi="MS Reference Sans Serif"/>
          <w:sz w:val="22"/>
        </w:rPr>
        <w:t>, and Table 3 displays the ratings, means, and standard deviations for these survey questions</w:t>
      </w:r>
      <w:bookmarkEnd w:id="9"/>
      <w:r w:rsidRPr="00E33192">
        <w:rPr>
          <w:rFonts w:ascii="MS Reference Sans Serif" w:hAnsi="MS Reference Sans Serif"/>
          <w:sz w:val="22"/>
        </w:rPr>
        <w:t>.</w:t>
      </w:r>
    </w:p>
    <w:p w14:paraId="7BD6897E" w14:textId="77777777" w:rsidR="002D193C" w:rsidRDefault="002D193C" w:rsidP="002D193C">
      <w:pPr>
        <w:contextualSpacing/>
        <w:jc w:val="left"/>
        <w:rPr>
          <w:rFonts w:ascii="MS Reference Sans Serif" w:hAnsi="MS Reference Sans Serif"/>
          <w:sz w:val="22"/>
        </w:rPr>
      </w:pPr>
    </w:p>
    <w:p w14:paraId="706593A4" w14:textId="4804F6C8" w:rsidR="002D193C" w:rsidRPr="001C6ABD" w:rsidRDefault="002D193C" w:rsidP="001C6ABD">
      <w:pPr>
        <w:jc w:val="both"/>
        <w:rPr>
          <w:rFonts w:ascii="MS Reference Sans Serif" w:hAnsi="MS Reference Sans Serif"/>
          <w:b/>
          <w:sz w:val="22"/>
        </w:rPr>
      </w:pPr>
      <w:r w:rsidRPr="00E33192">
        <w:rPr>
          <w:rFonts w:ascii="MS Reference Sans Serif" w:hAnsi="MS Reference Sans Serif"/>
          <w:b/>
          <w:sz w:val="22"/>
        </w:rPr>
        <w:t xml:space="preserve">Figure </w:t>
      </w:r>
      <w:r>
        <w:rPr>
          <w:rFonts w:ascii="MS Reference Sans Serif" w:hAnsi="MS Reference Sans Serif"/>
          <w:b/>
          <w:sz w:val="22"/>
        </w:rPr>
        <w:t>1</w:t>
      </w:r>
    </w:p>
    <w:p w14:paraId="03DDF7F0" w14:textId="77777777" w:rsidR="002D193C" w:rsidRPr="00E33192" w:rsidRDefault="002D193C" w:rsidP="002D193C">
      <w:pPr>
        <w:contextualSpacing/>
        <w:jc w:val="left"/>
        <w:rPr>
          <w:rFonts w:ascii="MS Reference Sans Serif" w:hAnsi="MS Reference Sans Serif"/>
          <w:b/>
          <w:sz w:val="22"/>
        </w:rPr>
      </w:pPr>
      <w:r w:rsidRPr="00E33192">
        <w:rPr>
          <w:rFonts w:ascii="MS Reference Sans Serif" w:hAnsi="MS Reference Sans Serif"/>
          <w:b/>
          <w:sz w:val="22"/>
        </w:rPr>
        <w:t xml:space="preserve"> </w:t>
      </w:r>
    </w:p>
    <w:p w14:paraId="757D6151" w14:textId="77777777" w:rsidR="002D193C" w:rsidRPr="00E33192" w:rsidRDefault="002D193C" w:rsidP="002D193C">
      <w:pPr>
        <w:contextualSpacing/>
        <w:jc w:val="left"/>
        <w:rPr>
          <w:rFonts w:ascii="MS Reference Sans Serif" w:hAnsi="MS Reference Sans Serif"/>
          <w:i/>
          <w:sz w:val="22"/>
        </w:rPr>
      </w:pPr>
      <w:r w:rsidRPr="00E33192">
        <w:rPr>
          <w:rFonts w:ascii="MS Reference Sans Serif" w:hAnsi="MS Reference Sans Serif"/>
          <w:i/>
          <w:sz w:val="22"/>
        </w:rPr>
        <w:t>Treatment Teachers’ Perceived Effectiveness Ratings</w:t>
      </w:r>
    </w:p>
    <w:p w14:paraId="660B43EE" w14:textId="77777777"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noProof/>
          <w:sz w:val="22"/>
        </w:rPr>
        <w:drawing>
          <wp:inline distT="0" distB="0" distL="0" distR="0" wp14:anchorId="14E8DB44" wp14:editId="443070EE">
            <wp:extent cx="4772025" cy="23336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5DAA5D" w14:textId="125AC0F6" w:rsidR="002B01BA" w:rsidRDefault="002D193C" w:rsidP="002D193C">
      <w:pPr>
        <w:contextualSpacing/>
        <w:jc w:val="left"/>
        <w:rPr>
          <w:rFonts w:ascii="MS Reference Sans Serif" w:hAnsi="MS Reference Sans Serif"/>
          <w:sz w:val="22"/>
        </w:rPr>
      </w:pPr>
      <w:r w:rsidRPr="00E33192">
        <w:rPr>
          <w:rFonts w:ascii="MS Reference Sans Serif" w:hAnsi="MS Reference Sans Serif"/>
          <w:i/>
          <w:sz w:val="22"/>
        </w:rPr>
        <w:t>Note</w:t>
      </w:r>
      <w:r w:rsidRPr="00E33192">
        <w:rPr>
          <w:rFonts w:ascii="MS Reference Sans Serif" w:hAnsi="MS Reference Sans Serif"/>
          <w:sz w:val="22"/>
        </w:rPr>
        <w:t>: Effectiveness ratings by course.</w:t>
      </w:r>
    </w:p>
    <w:p w14:paraId="287D2264" w14:textId="77777777" w:rsidR="002B01BA" w:rsidRDefault="002B01BA" w:rsidP="002D193C">
      <w:pPr>
        <w:contextualSpacing/>
        <w:jc w:val="left"/>
        <w:rPr>
          <w:rFonts w:ascii="MS Reference Sans Serif" w:hAnsi="MS Reference Sans Serif"/>
          <w:sz w:val="22"/>
        </w:rPr>
      </w:pPr>
    </w:p>
    <w:p w14:paraId="6E4A8CE3" w14:textId="285D907F" w:rsidR="002D193C" w:rsidRDefault="002D193C" w:rsidP="002D193C">
      <w:pPr>
        <w:contextualSpacing/>
        <w:jc w:val="left"/>
        <w:rPr>
          <w:rFonts w:ascii="MS Reference Sans Serif" w:hAnsi="MS Reference Sans Serif"/>
          <w:b/>
          <w:sz w:val="22"/>
        </w:rPr>
      </w:pPr>
      <w:r w:rsidRPr="00E33192">
        <w:rPr>
          <w:rFonts w:ascii="MS Reference Sans Serif" w:hAnsi="MS Reference Sans Serif"/>
          <w:b/>
          <w:sz w:val="22"/>
        </w:rPr>
        <w:t>Table 3</w:t>
      </w:r>
    </w:p>
    <w:p w14:paraId="3D0BCCD0" w14:textId="77777777" w:rsidR="002D193C" w:rsidRPr="00E33192" w:rsidRDefault="002D193C" w:rsidP="002D193C">
      <w:pPr>
        <w:contextualSpacing/>
        <w:jc w:val="left"/>
        <w:rPr>
          <w:rFonts w:ascii="MS Reference Sans Serif" w:hAnsi="MS Reference Sans Serif"/>
          <w:b/>
          <w:sz w:val="22"/>
        </w:rPr>
      </w:pPr>
      <w:r w:rsidRPr="00E33192">
        <w:rPr>
          <w:rFonts w:ascii="MS Reference Sans Serif" w:hAnsi="MS Reference Sans Serif"/>
          <w:b/>
          <w:sz w:val="22"/>
        </w:rPr>
        <w:t xml:space="preserve"> </w:t>
      </w:r>
    </w:p>
    <w:p w14:paraId="08BD1438" w14:textId="77777777" w:rsidR="002D193C" w:rsidRPr="00E33192" w:rsidRDefault="002D193C" w:rsidP="002D193C">
      <w:pPr>
        <w:contextualSpacing/>
        <w:jc w:val="left"/>
        <w:rPr>
          <w:rFonts w:ascii="MS Reference Sans Serif" w:hAnsi="MS Reference Sans Serif"/>
          <w:i/>
          <w:sz w:val="22"/>
        </w:rPr>
      </w:pPr>
      <w:r w:rsidRPr="00E33192">
        <w:rPr>
          <w:rFonts w:ascii="MS Reference Sans Serif" w:hAnsi="MS Reference Sans Serif"/>
          <w:i/>
          <w:sz w:val="22"/>
        </w:rPr>
        <w:t>Ratings, Means, and Standard Deviations for Effectiveness Survey Questions</w:t>
      </w:r>
    </w:p>
    <w:tbl>
      <w:tblPr>
        <w:tblStyle w:val="TableGrid"/>
        <w:tblW w:w="8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71"/>
        <w:gridCol w:w="472"/>
        <w:gridCol w:w="496"/>
        <w:gridCol w:w="496"/>
        <w:gridCol w:w="540"/>
        <w:gridCol w:w="1168"/>
      </w:tblGrid>
      <w:tr w:rsidR="002D193C" w:rsidRPr="00E33192" w14:paraId="01ADE020" w14:textId="77777777" w:rsidTr="00354BEC">
        <w:tc>
          <w:tcPr>
            <w:tcW w:w="5130" w:type="dxa"/>
            <w:vAlign w:val="bottom"/>
          </w:tcPr>
          <w:p w14:paraId="58BD54DA" w14:textId="77777777" w:rsidR="002D193C" w:rsidRPr="00E33192" w:rsidRDefault="002D193C" w:rsidP="002D193C">
            <w:pPr>
              <w:contextualSpacing/>
              <w:rPr>
                <w:rFonts w:ascii="MS Reference Sans Serif" w:hAnsi="MS Reference Sans Serif" w:cs="Times New Roman"/>
              </w:rPr>
            </w:pPr>
          </w:p>
        </w:tc>
        <w:tc>
          <w:tcPr>
            <w:tcW w:w="1935" w:type="dxa"/>
            <w:gridSpan w:val="4"/>
            <w:vAlign w:val="bottom"/>
          </w:tcPr>
          <w:p w14:paraId="726D04FC" w14:textId="77777777" w:rsidR="002D193C" w:rsidRDefault="002D193C" w:rsidP="002D193C">
            <w:pPr>
              <w:contextualSpacing/>
              <w:rPr>
                <w:rFonts w:ascii="MS Reference Sans Serif" w:hAnsi="MS Reference Sans Serif" w:cs="Times New Roman"/>
              </w:rPr>
            </w:pPr>
          </w:p>
          <w:p w14:paraId="5B6536EC"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Effectiveness Rating</w:t>
            </w:r>
          </w:p>
        </w:tc>
        <w:tc>
          <w:tcPr>
            <w:tcW w:w="540" w:type="dxa"/>
          </w:tcPr>
          <w:p w14:paraId="54F8F3D8" w14:textId="77777777" w:rsidR="002D193C" w:rsidRPr="00E33192" w:rsidRDefault="002D193C" w:rsidP="002D193C">
            <w:pPr>
              <w:contextualSpacing/>
              <w:rPr>
                <w:rFonts w:ascii="MS Reference Sans Serif" w:hAnsi="MS Reference Sans Serif" w:cs="Times New Roman"/>
              </w:rPr>
            </w:pPr>
          </w:p>
        </w:tc>
        <w:tc>
          <w:tcPr>
            <w:tcW w:w="1168" w:type="dxa"/>
          </w:tcPr>
          <w:p w14:paraId="6DAF85D3" w14:textId="77777777" w:rsidR="002D193C" w:rsidRPr="00E33192" w:rsidRDefault="002D193C" w:rsidP="002D193C">
            <w:pPr>
              <w:contextualSpacing/>
              <w:rPr>
                <w:rFonts w:ascii="MS Reference Sans Serif" w:hAnsi="MS Reference Sans Serif" w:cs="Times New Roman"/>
              </w:rPr>
            </w:pPr>
          </w:p>
        </w:tc>
      </w:tr>
      <w:tr w:rsidR="002D193C" w:rsidRPr="00E33192" w14:paraId="03A57C30" w14:textId="77777777" w:rsidTr="00354BEC">
        <w:tc>
          <w:tcPr>
            <w:tcW w:w="5130" w:type="dxa"/>
            <w:tcBorders>
              <w:bottom w:val="single" w:sz="4" w:space="0" w:color="auto"/>
            </w:tcBorders>
            <w:vAlign w:val="bottom"/>
          </w:tcPr>
          <w:p w14:paraId="067BD178"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 xml:space="preserve">Survey Question </w:t>
            </w:r>
          </w:p>
        </w:tc>
        <w:tc>
          <w:tcPr>
            <w:tcW w:w="471" w:type="dxa"/>
            <w:tcBorders>
              <w:bottom w:val="single" w:sz="4" w:space="0" w:color="auto"/>
            </w:tcBorders>
            <w:vAlign w:val="bottom"/>
          </w:tcPr>
          <w:p w14:paraId="571F91A8"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w:t>
            </w:r>
          </w:p>
        </w:tc>
        <w:tc>
          <w:tcPr>
            <w:tcW w:w="472" w:type="dxa"/>
            <w:tcBorders>
              <w:bottom w:val="single" w:sz="4" w:space="0" w:color="auto"/>
            </w:tcBorders>
            <w:vAlign w:val="bottom"/>
          </w:tcPr>
          <w:p w14:paraId="7123B92E"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w:t>
            </w:r>
          </w:p>
        </w:tc>
        <w:tc>
          <w:tcPr>
            <w:tcW w:w="496" w:type="dxa"/>
            <w:tcBorders>
              <w:bottom w:val="single" w:sz="4" w:space="0" w:color="auto"/>
            </w:tcBorders>
            <w:vAlign w:val="bottom"/>
          </w:tcPr>
          <w:p w14:paraId="0283FE7E"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w:t>
            </w:r>
          </w:p>
        </w:tc>
        <w:tc>
          <w:tcPr>
            <w:tcW w:w="496" w:type="dxa"/>
            <w:tcBorders>
              <w:bottom w:val="single" w:sz="4" w:space="0" w:color="auto"/>
            </w:tcBorders>
            <w:vAlign w:val="bottom"/>
          </w:tcPr>
          <w:p w14:paraId="1CC6E717"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4</w:t>
            </w:r>
          </w:p>
        </w:tc>
        <w:tc>
          <w:tcPr>
            <w:tcW w:w="540" w:type="dxa"/>
            <w:tcBorders>
              <w:bottom w:val="single" w:sz="4" w:space="0" w:color="auto"/>
            </w:tcBorders>
            <w:vAlign w:val="bottom"/>
          </w:tcPr>
          <w:p w14:paraId="159C237E"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N</w:t>
            </w:r>
          </w:p>
        </w:tc>
        <w:tc>
          <w:tcPr>
            <w:tcW w:w="1168" w:type="dxa"/>
            <w:tcBorders>
              <w:bottom w:val="single" w:sz="4" w:space="0" w:color="auto"/>
            </w:tcBorders>
            <w:vAlign w:val="bottom"/>
          </w:tcPr>
          <w:p w14:paraId="220A63DB"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Mean (SD)</w:t>
            </w:r>
          </w:p>
        </w:tc>
      </w:tr>
      <w:tr w:rsidR="002D193C" w:rsidRPr="00E33192" w14:paraId="0FA743F6" w14:textId="77777777" w:rsidTr="00354BEC">
        <w:tc>
          <w:tcPr>
            <w:tcW w:w="5130" w:type="dxa"/>
            <w:tcBorders>
              <w:top w:val="single" w:sz="4" w:space="0" w:color="auto"/>
            </w:tcBorders>
            <w:vAlign w:val="bottom"/>
          </w:tcPr>
          <w:p w14:paraId="7E99F6AE" w14:textId="77777777" w:rsidR="002D193C" w:rsidRPr="00E33192" w:rsidRDefault="002D193C" w:rsidP="002D193C">
            <w:pPr>
              <w:contextualSpacing/>
              <w:rPr>
                <w:rFonts w:ascii="MS Reference Sans Serif" w:hAnsi="MS Reference Sans Serif" w:cs="Times New Roman"/>
                <w:u w:val="single"/>
              </w:rPr>
            </w:pPr>
            <w:r w:rsidRPr="00E33192">
              <w:rPr>
                <w:rFonts w:ascii="MS Reference Sans Serif" w:hAnsi="MS Reference Sans Serif" w:cs="Times New Roman"/>
                <w:u w:val="single"/>
              </w:rPr>
              <w:t>Second Language Assessment</w:t>
            </w:r>
          </w:p>
        </w:tc>
        <w:tc>
          <w:tcPr>
            <w:tcW w:w="471" w:type="dxa"/>
            <w:tcBorders>
              <w:top w:val="single" w:sz="4" w:space="0" w:color="auto"/>
            </w:tcBorders>
            <w:vAlign w:val="bottom"/>
          </w:tcPr>
          <w:p w14:paraId="739968B8" w14:textId="77777777" w:rsidR="002D193C" w:rsidRPr="00E33192" w:rsidRDefault="002D193C" w:rsidP="002D193C">
            <w:pPr>
              <w:contextualSpacing/>
              <w:rPr>
                <w:rFonts w:ascii="MS Reference Sans Serif" w:hAnsi="MS Reference Sans Serif" w:cs="Times New Roman"/>
              </w:rPr>
            </w:pPr>
          </w:p>
        </w:tc>
        <w:tc>
          <w:tcPr>
            <w:tcW w:w="472" w:type="dxa"/>
            <w:tcBorders>
              <w:top w:val="single" w:sz="4" w:space="0" w:color="auto"/>
            </w:tcBorders>
            <w:vAlign w:val="bottom"/>
          </w:tcPr>
          <w:p w14:paraId="5F535041" w14:textId="77777777" w:rsidR="002D193C" w:rsidRPr="00E33192" w:rsidRDefault="002D193C" w:rsidP="002D193C">
            <w:pPr>
              <w:contextualSpacing/>
              <w:rPr>
                <w:rFonts w:ascii="MS Reference Sans Serif" w:hAnsi="MS Reference Sans Serif" w:cs="Times New Roman"/>
              </w:rPr>
            </w:pPr>
          </w:p>
        </w:tc>
        <w:tc>
          <w:tcPr>
            <w:tcW w:w="496" w:type="dxa"/>
            <w:tcBorders>
              <w:top w:val="single" w:sz="4" w:space="0" w:color="auto"/>
            </w:tcBorders>
            <w:vAlign w:val="bottom"/>
          </w:tcPr>
          <w:p w14:paraId="1A3ABFBB" w14:textId="77777777" w:rsidR="002D193C" w:rsidRPr="00E33192" w:rsidRDefault="002D193C" w:rsidP="002D193C">
            <w:pPr>
              <w:contextualSpacing/>
              <w:rPr>
                <w:rFonts w:ascii="MS Reference Sans Serif" w:hAnsi="MS Reference Sans Serif" w:cs="Times New Roman"/>
              </w:rPr>
            </w:pPr>
          </w:p>
        </w:tc>
        <w:tc>
          <w:tcPr>
            <w:tcW w:w="496" w:type="dxa"/>
            <w:tcBorders>
              <w:top w:val="single" w:sz="4" w:space="0" w:color="auto"/>
            </w:tcBorders>
            <w:vAlign w:val="bottom"/>
          </w:tcPr>
          <w:p w14:paraId="5ADA34E9" w14:textId="77777777" w:rsidR="002D193C" w:rsidRPr="00E33192" w:rsidRDefault="002D193C" w:rsidP="002D193C">
            <w:pPr>
              <w:contextualSpacing/>
              <w:rPr>
                <w:rFonts w:ascii="MS Reference Sans Serif" w:hAnsi="MS Reference Sans Serif" w:cs="Times New Roman"/>
              </w:rPr>
            </w:pPr>
          </w:p>
        </w:tc>
        <w:tc>
          <w:tcPr>
            <w:tcW w:w="540" w:type="dxa"/>
            <w:tcBorders>
              <w:top w:val="single" w:sz="4" w:space="0" w:color="auto"/>
            </w:tcBorders>
            <w:vAlign w:val="bottom"/>
          </w:tcPr>
          <w:p w14:paraId="002CAF88" w14:textId="77777777" w:rsidR="002D193C" w:rsidRPr="00E33192" w:rsidRDefault="002D193C" w:rsidP="002D193C">
            <w:pPr>
              <w:contextualSpacing/>
              <w:rPr>
                <w:rFonts w:ascii="MS Reference Sans Serif" w:hAnsi="MS Reference Sans Serif" w:cs="Times New Roman"/>
              </w:rPr>
            </w:pPr>
          </w:p>
        </w:tc>
        <w:tc>
          <w:tcPr>
            <w:tcW w:w="1168" w:type="dxa"/>
            <w:tcBorders>
              <w:top w:val="single" w:sz="4" w:space="0" w:color="auto"/>
            </w:tcBorders>
            <w:vAlign w:val="bottom"/>
          </w:tcPr>
          <w:p w14:paraId="4D56A290" w14:textId="77777777" w:rsidR="002D193C" w:rsidRPr="00E33192" w:rsidRDefault="002D193C" w:rsidP="002D193C">
            <w:pPr>
              <w:contextualSpacing/>
              <w:rPr>
                <w:rFonts w:ascii="MS Reference Sans Serif" w:hAnsi="MS Reference Sans Serif" w:cs="Times New Roman"/>
              </w:rPr>
            </w:pPr>
          </w:p>
        </w:tc>
      </w:tr>
      <w:tr w:rsidR="002D193C" w:rsidRPr="00E33192" w14:paraId="0DAB4D4B" w14:textId="77777777" w:rsidTr="00354BEC">
        <w:tc>
          <w:tcPr>
            <w:tcW w:w="5130" w:type="dxa"/>
            <w:vAlign w:val="bottom"/>
          </w:tcPr>
          <w:p w14:paraId="1EE6E778" w14:textId="77777777" w:rsidR="002D193C" w:rsidRPr="00E33192" w:rsidRDefault="002D193C" w:rsidP="002D193C">
            <w:pPr>
              <w:ind w:left="345" w:hanging="90"/>
              <w:contextualSpacing/>
              <w:rPr>
                <w:rFonts w:ascii="MS Reference Sans Serif" w:hAnsi="MS Reference Sans Serif" w:cs="Times New Roman"/>
              </w:rPr>
            </w:pPr>
            <w:r w:rsidRPr="00E33192">
              <w:rPr>
                <w:rFonts w:ascii="MS Reference Sans Serif" w:hAnsi="MS Reference Sans Serif" w:cs="Times New Roman"/>
              </w:rPr>
              <w:t>Creating and implementing assessments to enhance learning and success for English learners</w:t>
            </w:r>
          </w:p>
        </w:tc>
        <w:tc>
          <w:tcPr>
            <w:tcW w:w="471" w:type="dxa"/>
            <w:vAlign w:val="bottom"/>
          </w:tcPr>
          <w:p w14:paraId="1B4ABBC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vAlign w:val="bottom"/>
          </w:tcPr>
          <w:p w14:paraId="1D12FC0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96" w:type="dxa"/>
            <w:vAlign w:val="bottom"/>
          </w:tcPr>
          <w:p w14:paraId="7C5AF1CD"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11</w:t>
            </w:r>
          </w:p>
        </w:tc>
        <w:tc>
          <w:tcPr>
            <w:tcW w:w="496" w:type="dxa"/>
            <w:vAlign w:val="bottom"/>
          </w:tcPr>
          <w:p w14:paraId="47FB4932"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10</w:t>
            </w:r>
          </w:p>
        </w:tc>
        <w:tc>
          <w:tcPr>
            <w:tcW w:w="540" w:type="dxa"/>
            <w:vAlign w:val="bottom"/>
          </w:tcPr>
          <w:p w14:paraId="0E33E998"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21</w:t>
            </w:r>
          </w:p>
        </w:tc>
        <w:tc>
          <w:tcPr>
            <w:tcW w:w="1168" w:type="dxa"/>
            <w:vAlign w:val="bottom"/>
          </w:tcPr>
          <w:p w14:paraId="78952B4E"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3.48 (0.50)</w:t>
            </w:r>
          </w:p>
        </w:tc>
      </w:tr>
      <w:tr w:rsidR="002D193C" w:rsidRPr="00E33192" w14:paraId="1D7ED582" w14:textId="77777777" w:rsidTr="00354BEC">
        <w:tc>
          <w:tcPr>
            <w:tcW w:w="5130" w:type="dxa"/>
            <w:vAlign w:val="bottom"/>
          </w:tcPr>
          <w:p w14:paraId="7FC0F6C1" w14:textId="77777777" w:rsidR="002D193C" w:rsidRPr="00E33192" w:rsidRDefault="002D193C" w:rsidP="002D193C">
            <w:pPr>
              <w:ind w:left="345" w:hanging="90"/>
              <w:contextualSpacing/>
              <w:rPr>
                <w:rFonts w:ascii="MS Reference Sans Serif" w:hAnsi="MS Reference Sans Serif" w:cs="Times New Roman"/>
              </w:rPr>
            </w:pPr>
            <w:r w:rsidRPr="00E33192">
              <w:rPr>
                <w:rFonts w:ascii="MS Reference Sans Serif" w:hAnsi="MS Reference Sans Serif" w:cs="Times New Roman"/>
              </w:rPr>
              <w:t>Using information gained from various assessment types for English Learner instruction</w:t>
            </w:r>
          </w:p>
        </w:tc>
        <w:tc>
          <w:tcPr>
            <w:tcW w:w="471" w:type="dxa"/>
            <w:vAlign w:val="bottom"/>
          </w:tcPr>
          <w:p w14:paraId="28C75961"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vAlign w:val="bottom"/>
          </w:tcPr>
          <w:p w14:paraId="02BC9D1B"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w:t>
            </w:r>
          </w:p>
        </w:tc>
        <w:tc>
          <w:tcPr>
            <w:tcW w:w="496" w:type="dxa"/>
            <w:vAlign w:val="bottom"/>
          </w:tcPr>
          <w:p w14:paraId="18E3D77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8</w:t>
            </w:r>
          </w:p>
        </w:tc>
        <w:tc>
          <w:tcPr>
            <w:tcW w:w="496" w:type="dxa"/>
            <w:vAlign w:val="bottom"/>
          </w:tcPr>
          <w:p w14:paraId="77CEEFF0"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12</w:t>
            </w:r>
          </w:p>
        </w:tc>
        <w:tc>
          <w:tcPr>
            <w:tcW w:w="540" w:type="dxa"/>
            <w:vAlign w:val="bottom"/>
          </w:tcPr>
          <w:p w14:paraId="58D7C1F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21</w:t>
            </w:r>
          </w:p>
        </w:tc>
        <w:tc>
          <w:tcPr>
            <w:tcW w:w="1168" w:type="dxa"/>
            <w:vAlign w:val="bottom"/>
          </w:tcPr>
          <w:p w14:paraId="683A3E8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3.52 (0.59)</w:t>
            </w:r>
          </w:p>
        </w:tc>
      </w:tr>
      <w:tr w:rsidR="002D193C" w:rsidRPr="00E33192" w14:paraId="2A34C0CB" w14:textId="77777777" w:rsidTr="00354BEC">
        <w:tc>
          <w:tcPr>
            <w:tcW w:w="5130" w:type="dxa"/>
            <w:vAlign w:val="bottom"/>
          </w:tcPr>
          <w:p w14:paraId="25D1A2BC" w14:textId="77777777" w:rsidR="002D193C" w:rsidRPr="00E33192" w:rsidRDefault="002D193C" w:rsidP="002D193C">
            <w:pPr>
              <w:contextualSpacing/>
              <w:rPr>
                <w:rFonts w:ascii="MS Reference Sans Serif" w:hAnsi="MS Reference Sans Serif" w:cs="Times New Roman"/>
                <w:u w:val="single"/>
              </w:rPr>
            </w:pPr>
            <w:r w:rsidRPr="00E33192">
              <w:rPr>
                <w:rFonts w:ascii="MS Reference Sans Serif" w:hAnsi="MS Reference Sans Serif" w:cs="Times New Roman"/>
                <w:u w:val="single"/>
              </w:rPr>
              <w:t>Second Language Acquisition</w:t>
            </w:r>
          </w:p>
        </w:tc>
        <w:tc>
          <w:tcPr>
            <w:tcW w:w="471" w:type="dxa"/>
            <w:vAlign w:val="bottom"/>
          </w:tcPr>
          <w:p w14:paraId="765CDD36" w14:textId="77777777" w:rsidR="002D193C" w:rsidRPr="00E33192" w:rsidRDefault="002D193C" w:rsidP="002D193C">
            <w:pPr>
              <w:contextualSpacing/>
              <w:rPr>
                <w:rFonts w:ascii="MS Reference Sans Serif" w:hAnsi="MS Reference Sans Serif" w:cs="Times New Roman"/>
              </w:rPr>
            </w:pPr>
          </w:p>
        </w:tc>
        <w:tc>
          <w:tcPr>
            <w:tcW w:w="472" w:type="dxa"/>
            <w:vAlign w:val="bottom"/>
          </w:tcPr>
          <w:p w14:paraId="639F556E" w14:textId="77777777" w:rsidR="002D193C" w:rsidRPr="00E33192" w:rsidRDefault="002D193C" w:rsidP="002D193C">
            <w:pPr>
              <w:contextualSpacing/>
              <w:rPr>
                <w:rFonts w:ascii="MS Reference Sans Serif" w:hAnsi="MS Reference Sans Serif" w:cs="Times New Roman"/>
              </w:rPr>
            </w:pPr>
          </w:p>
        </w:tc>
        <w:tc>
          <w:tcPr>
            <w:tcW w:w="496" w:type="dxa"/>
            <w:vAlign w:val="bottom"/>
          </w:tcPr>
          <w:p w14:paraId="729D3DB1" w14:textId="77777777" w:rsidR="002D193C" w:rsidRPr="00E33192" w:rsidRDefault="002D193C" w:rsidP="002D193C">
            <w:pPr>
              <w:contextualSpacing/>
              <w:rPr>
                <w:rFonts w:ascii="MS Reference Sans Serif" w:hAnsi="MS Reference Sans Serif" w:cs="Times New Roman"/>
              </w:rPr>
            </w:pPr>
          </w:p>
        </w:tc>
        <w:tc>
          <w:tcPr>
            <w:tcW w:w="496" w:type="dxa"/>
            <w:vAlign w:val="bottom"/>
          </w:tcPr>
          <w:p w14:paraId="15549C40" w14:textId="77777777" w:rsidR="002D193C" w:rsidRPr="00E33192" w:rsidRDefault="002D193C" w:rsidP="002D193C">
            <w:pPr>
              <w:contextualSpacing/>
              <w:rPr>
                <w:rFonts w:ascii="MS Reference Sans Serif" w:hAnsi="MS Reference Sans Serif" w:cs="Times New Roman"/>
              </w:rPr>
            </w:pPr>
          </w:p>
        </w:tc>
        <w:tc>
          <w:tcPr>
            <w:tcW w:w="540" w:type="dxa"/>
            <w:vAlign w:val="bottom"/>
          </w:tcPr>
          <w:p w14:paraId="69FAFAEB" w14:textId="77777777" w:rsidR="002D193C" w:rsidRPr="00E33192" w:rsidRDefault="002D193C" w:rsidP="002D193C">
            <w:pPr>
              <w:contextualSpacing/>
              <w:rPr>
                <w:rFonts w:ascii="MS Reference Sans Serif" w:hAnsi="MS Reference Sans Serif" w:cs="Times New Roman"/>
              </w:rPr>
            </w:pPr>
          </w:p>
        </w:tc>
        <w:tc>
          <w:tcPr>
            <w:tcW w:w="1168" w:type="dxa"/>
            <w:vAlign w:val="bottom"/>
          </w:tcPr>
          <w:p w14:paraId="5C790800" w14:textId="77777777" w:rsidR="002D193C" w:rsidRPr="00E33192" w:rsidRDefault="002D193C" w:rsidP="002D193C">
            <w:pPr>
              <w:contextualSpacing/>
              <w:rPr>
                <w:rFonts w:ascii="MS Reference Sans Serif" w:hAnsi="MS Reference Sans Serif" w:cs="Times New Roman"/>
                <w:highlight w:val="yellow"/>
              </w:rPr>
            </w:pPr>
          </w:p>
        </w:tc>
      </w:tr>
      <w:tr w:rsidR="002D193C" w:rsidRPr="00E33192" w14:paraId="1470839F" w14:textId="77777777" w:rsidTr="00354BEC">
        <w:tc>
          <w:tcPr>
            <w:tcW w:w="5130" w:type="dxa"/>
            <w:vAlign w:val="bottom"/>
          </w:tcPr>
          <w:p w14:paraId="44D4E897" w14:textId="77777777" w:rsidR="002D193C" w:rsidRPr="00E33192" w:rsidRDefault="002D193C" w:rsidP="002D193C">
            <w:pPr>
              <w:ind w:left="345" w:hanging="90"/>
              <w:contextualSpacing/>
              <w:rPr>
                <w:rFonts w:ascii="MS Reference Sans Serif" w:hAnsi="MS Reference Sans Serif" w:cs="Times New Roman"/>
              </w:rPr>
            </w:pPr>
            <w:r w:rsidRPr="00E33192">
              <w:rPr>
                <w:rFonts w:ascii="MS Reference Sans Serif" w:hAnsi="MS Reference Sans Serif" w:cs="Times New Roman"/>
              </w:rPr>
              <w:t>Identifying the stages of language development</w:t>
            </w:r>
          </w:p>
        </w:tc>
        <w:tc>
          <w:tcPr>
            <w:tcW w:w="471" w:type="dxa"/>
            <w:vAlign w:val="bottom"/>
          </w:tcPr>
          <w:p w14:paraId="36EBAF37"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vAlign w:val="bottom"/>
          </w:tcPr>
          <w:p w14:paraId="0AAD99F7"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w:t>
            </w:r>
          </w:p>
        </w:tc>
        <w:tc>
          <w:tcPr>
            <w:tcW w:w="496" w:type="dxa"/>
            <w:vAlign w:val="bottom"/>
          </w:tcPr>
          <w:p w14:paraId="40F8490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7</w:t>
            </w:r>
          </w:p>
        </w:tc>
        <w:tc>
          <w:tcPr>
            <w:tcW w:w="496" w:type="dxa"/>
            <w:vAlign w:val="bottom"/>
          </w:tcPr>
          <w:p w14:paraId="1017A45C"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9</w:t>
            </w:r>
          </w:p>
        </w:tc>
        <w:tc>
          <w:tcPr>
            <w:tcW w:w="540" w:type="dxa"/>
            <w:vAlign w:val="bottom"/>
          </w:tcPr>
          <w:p w14:paraId="7609241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19</w:t>
            </w:r>
          </w:p>
        </w:tc>
        <w:tc>
          <w:tcPr>
            <w:tcW w:w="1168" w:type="dxa"/>
            <w:vAlign w:val="bottom"/>
          </w:tcPr>
          <w:p w14:paraId="57B9F81E"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3.32 (0.73)</w:t>
            </w:r>
          </w:p>
        </w:tc>
      </w:tr>
      <w:tr w:rsidR="002D193C" w:rsidRPr="00E33192" w14:paraId="38085857" w14:textId="77777777" w:rsidTr="00354BEC">
        <w:tc>
          <w:tcPr>
            <w:tcW w:w="5130" w:type="dxa"/>
            <w:vAlign w:val="bottom"/>
          </w:tcPr>
          <w:p w14:paraId="3B7633BE" w14:textId="77777777" w:rsidR="002D193C" w:rsidRPr="00E33192" w:rsidRDefault="002D193C" w:rsidP="002D193C">
            <w:pPr>
              <w:ind w:left="345" w:hanging="90"/>
              <w:contextualSpacing/>
              <w:rPr>
                <w:rFonts w:ascii="MS Reference Sans Serif" w:hAnsi="MS Reference Sans Serif" w:cs="Times New Roman"/>
              </w:rPr>
            </w:pPr>
            <w:r w:rsidRPr="00E33192">
              <w:rPr>
                <w:rFonts w:ascii="MS Reference Sans Serif" w:hAnsi="MS Reference Sans Serif" w:cs="Times New Roman"/>
              </w:rPr>
              <w:t>The relationship between first and second language development</w:t>
            </w:r>
          </w:p>
        </w:tc>
        <w:tc>
          <w:tcPr>
            <w:tcW w:w="471" w:type="dxa"/>
            <w:vAlign w:val="bottom"/>
          </w:tcPr>
          <w:p w14:paraId="40ABD6B7"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vAlign w:val="bottom"/>
          </w:tcPr>
          <w:p w14:paraId="1B590A6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96" w:type="dxa"/>
            <w:vAlign w:val="bottom"/>
          </w:tcPr>
          <w:p w14:paraId="41F064FC"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9</w:t>
            </w:r>
          </w:p>
        </w:tc>
        <w:tc>
          <w:tcPr>
            <w:tcW w:w="496" w:type="dxa"/>
            <w:vAlign w:val="bottom"/>
          </w:tcPr>
          <w:p w14:paraId="3E5EFC67"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10</w:t>
            </w:r>
          </w:p>
        </w:tc>
        <w:tc>
          <w:tcPr>
            <w:tcW w:w="540" w:type="dxa"/>
            <w:vAlign w:val="bottom"/>
          </w:tcPr>
          <w:p w14:paraId="5D05C1A0"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19</w:t>
            </w:r>
          </w:p>
        </w:tc>
        <w:tc>
          <w:tcPr>
            <w:tcW w:w="1168" w:type="dxa"/>
            <w:vAlign w:val="bottom"/>
          </w:tcPr>
          <w:p w14:paraId="40E1F888"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3.53 (0.50)</w:t>
            </w:r>
          </w:p>
        </w:tc>
      </w:tr>
      <w:tr w:rsidR="002D193C" w:rsidRPr="00E33192" w14:paraId="3C18514C" w14:textId="77777777" w:rsidTr="00354BEC">
        <w:tc>
          <w:tcPr>
            <w:tcW w:w="5130" w:type="dxa"/>
            <w:vAlign w:val="bottom"/>
          </w:tcPr>
          <w:p w14:paraId="3331E0C4" w14:textId="77777777" w:rsidR="002D193C" w:rsidRPr="00E33192" w:rsidRDefault="002D193C" w:rsidP="002D193C">
            <w:pPr>
              <w:ind w:left="345" w:hanging="90"/>
              <w:contextualSpacing/>
              <w:rPr>
                <w:rFonts w:ascii="MS Reference Sans Serif" w:hAnsi="MS Reference Sans Serif" w:cs="Times New Roman"/>
              </w:rPr>
            </w:pPr>
            <w:r w:rsidRPr="00E33192">
              <w:rPr>
                <w:rFonts w:ascii="MS Reference Sans Serif" w:hAnsi="MS Reference Sans Serif" w:cs="Times New Roman"/>
              </w:rPr>
              <w:t>Strategies to simultaneously promote content learning and second language acquisition</w:t>
            </w:r>
          </w:p>
        </w:tc>
        <w:tc>
          <w:tcPr>
            <w:tcW w:w="471" w:type="dxa"/>
            <w:vAlign w:val="bottom"/>
          </w:tcPr>
          <w:p w14:paraId="1B888CE8"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vAlign w:val="bottom"/>
          </w:tcPr>
          <w:p w14:paraId="6092619E"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w:t>
            </w:r>
          </w:p>
        </w:tc>
        <w:tc>
          <w:tcPr>
            <w:tcW w:w="496" w:type="dxa"/>
            <w:vAlign w:val="bottom"/>
          </w:tcPr>
          <w:p w14:paraId="6AB7D339"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10</w:t>
            </w:r>
          </w:p>
        </w:tc>
        <w:tc>
          <w:tcPr>
            <w:tcW w:w="496" w:type="dxa"/>
            <w:vAlign w:val="bottom"/>
          </w:tcPr>
          <w:p w14:paraId="292F0FF8"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7</w:t>
            </w:r>
          </w:p>
        </w:tc>
        <w:tc>
          <w:tcPr>
            <w:tcW w:w="540" w:type="dxa"/>
            <w:vAlign w:val="bottom"/>
          </w:tcPr>
          <w:p w14:paraId="0D8463E8"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19</w:t>
            </w:r>
          </w:p>
        </w:tc>
        <w:tc>
          <w:tcPr>
            <w:tcW w:w="1168" w:type="dxa"/>
            <w:vAlign w:val="bottom"/>
          </w:tcPr>
          <w:p w14:paraId="2AF96159"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3.26 (0.64)</w:t>
            </w:r>
          </w:p>
        </w:tc>
      </w:tr>
      <w:tr w:rsidR="002D193C" w:rsidRPr="00E33192" w14:paraId="36D2A04E" w14:textId="77777777" w:rsidTr="00354BEC">
        <w:tc>
          <w:tcPr>
            <w:tcW w:w="5130" w:type="dxa"/>
            <w:vAlign w:val="bottom"/>
          </w:tcPr>
          <w:p w14:paraId="0BF3B2C5" w14:textId="77777777" w:rsidR="002D193C" w:rsidRPr="00E33192" w:rsidRDefault="002D193C" w:rsidP="002D193C">
            <w:pPr>
              <w:ind w:left="-30"/>
              <w:contextualSpacing/>
              <w:rPr>
                <w:rFonts w:ascii="MS Reference Sans Serif" w:hAnsi="MS Reference Sans Serif" w:cs="Times New Roman"/>
                <w:u w:val="single"/>
              </w:rPr>
            </w:pPr>
            <w:r w:rsidRPr="00E33192">
              <w:rPr>
                <w:rFonts w:ascii="MS Reference Sans Serif" w:hAnsi="MS Reference Sans Serif" w:cs="Times New Roman"/>
                <w:u w:val="single"/>
              </w:rPr>
              <w:t>Second Language Methodologies</w:t>
            </w:r>
          </w:p>
        </w:tc>
        <w:tc>
          <w:tcPr>
            <w:tcW w:w="471" w:type="dxa"/>
            <w:vAlign w:val="bottom"/>
          </w:tcPr>
          <w:p w14:paraId="1F1DE119" w14:textId="77777777" w:rsidR="002D193C" w:rsidRPr="00E33192" w:rsidRDefault="002D193C" w:rsidP="002D193C">
            <w:pPr>
              <w:contextualSpacing/>
              <w:rPr>
                <w:rFonts w:ascii="MS Reference Sans Serif" w:hAnsi="MS Reference Sans Serif" w:cs="Times New Roman"/>
              </w:rPr>
            </w:pPr>
          </w:p>
        </w:tc>
        <w:tc>
          <w:tcPr>
            <w:tcW w:w="472" w:type="dxa"/>
            <w:vAlign w:val="bottom"/>
          </w:tcPr>
          <w:p w14:paraId="58513207" w14:textId="77777777" w:rsidR="002D193C" w:rsidRPr="00E33192" w:rsidRDefault="002D193C" w:rsidP="002D193C">
            <w:pPr>
              <w:contextualSpacing/>
              <w:rPr>
                <w:rFonts w:ascii="MS Reference Sans Serif" w:hAnsi="MS Reference Sans Serif" w:cs="Times New Roman"/>
              </w:rPr>
            </w:pPr>
          </w:p>
        </w:tc>
        <w:tc>
          <w:tcPr>
            <w:tcW w:w="496" w:type="dxa"/>
            <w:vAlign w:val="bottom"/>
          </w:tcPr>
          <w:p w14:paraId="3DF92E5B" w14:textId="77777777" w:rsidR="002D193C" w:rsidRPr="00E33192" w:rsidRDefault="002D193C" w:rsidP="002D193C">
            <w:pPr>
              <w:contextualSpacing/>
              <w:rPr>
                <w:rFonts w:ascii="MS Reference Sans Serif" w:hAnsi="MS Reference Sans Serif" w:cs="Times New Roman"/>
              </w:rPr>
            </w:pPr>
          </w:p>
        </w:tc>
        <w:tc>
          <w:tcPr>
            <w:tcW w:w="496" w:type="dxa"/>
            <w:vAlign w:val="bottom"/>
          </w:tcPr>
          <w:p w14:paraId="1B741D8C" w14:textId="77777777" w:rsidR="002D193C" w:rsidRPr="00E33192" w:rsidRDefault="002D193C" w:rsidP="002D193C">
            <w:pPr>
              <w:contextualSpacing/>
              <w:rPr>
                <w:rFonts w:ascii="MS Reference Sans Serif" w:hAnsi="MS Reference Sans Serif" w:cs="Times New Roman"/>
              </w:rPr>
            </w:pPr>
          </w:p>
        </w:tc>
        <w:tc>
          <w:tcPr>
            <w:tcW w:w="540" w:type="dxa"/>
            <w:vAlign w:val="bottom"/>
          </w:tcPr>
          <w:p w14:paraId="509E3815" w14:textId="77777777" w:rsidR="002D193C" w:rsidRPr="00E33192" w:rsidRDefault="002D193C" w:rsidP="002D193C">
            <w:pPr>
              <w:contextualSpacing/>
              <w:rPr>
                <w:rFonts w:ascii="MS Reference Sans Serif" w:hAnsi="MS Reference Sans Serif" w:cs="Times New Roman"/>
              </w:rPr>
            </w:pPr>
          </w:p>
        </w:tc>
        <w:tc>
          <w:tcPr>
            <w:tcW w:w="1168" w:type="dxa"/>
            <w:vAlign w:val="bottom"/>
          </w:tcPr>
          <w:p w14:paraId="60DA6E9E" w14:textId="77777777" w:rsidR="002D193C" w:rsidRPr="00E33192" w:rsidRDefault="002D193C" w:rsidP="002D193C">
            <w:pPr>
              <w:contextualSpacing/>
              <w:rPr>
                <w:rFonts w:ascii="MS Reference Sans Serif" w:hAnsi="MS Reference Sans Serif" w:cs="Times New Roman"/>
                <w:highlight w:val="yellow"/>
              </w:rPr>
            </w:pPr>
          </w:p>
        </w:tc>
      </w:tr>
      <w:tr w:rsidR="002D193C" w:rsidRPr="00E33192" w14:paraId="6DA4476B" w14:textId="77777777" w:rsidTr="00354BEC">
        <w:tc>
          <w:tcPr>
            <w:tcW w:w="5130" w:type="dxa"/>
            <w:vAlign w:val="bottom"/>
          </w:tcPr>
          <w:p w14:paraId="495CA24F" w14:textId="77777777" w:rsidR="002D193C" w:rsidRPr="00E33192" w:rsidRDefault="002D193C" w:rsidP="002D193C">
            <w:pPr>
              <w:ind w:left="345" w:hanging="90"/>
              <w:contextualSpacing/>
              <w:rPr>
                <w:rFonts w:ascii="MS Reference Sans Serif" w:hAnsi="MS Reference Sans Serif" w:cs="Times New Roman"/>
              </w:rPr>
            </w:pPr>
            <w:r w:rsidRPr="00E33192">
              <w:rPr>
                <w:rFonts w:ascii="MS Reference Sans Serif" w:hAnsi="MS Reference Sans Serif" w:cs="Times New Roman"/>
              </w:rPr>
              <w:t>Creating lesson plans, learning goals and language objectives to further develop English skills across the curriculum</w:t>
            </w:r>
          </w:p>
        </w:tc>
        <w:tc>
          <w:tcPr>
            <w:tcW w:w="471" w:type="dxa"/>
            <w:vAlign w:val="bottom"/>
          </w:tcPr>
          <w:p w14:paraId="01CB7F9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vAlign w:val="bottom"/>
          </w:tcPr>
          <w:p w14:paraId="76EAF4A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w:t>
            </w:r>
          </w:p>
        </w:tc>
        <w:tc>
          <w:tcPr>
            <w:tcW w:w="496" w:type="dxa"/>
            <w:vAlign w:val="bottom"/>
          </w:tcPr>
          <w:p w14:paraId="2EB9D131"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4</w:t>
            </w:r>
          </w:p>
        </w:tc>
        <w:tc>
          <w:tcPr>
            <w:tcW w:w="496" w:type="dxa"/>
            <w:vAlign w:val="bottom"/>
          </w:tcPr>
          <w:p w14:paraId="299B19B2"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18</w:t>
            </w:r>
          </w:p>
        </w:tc>
        <w:tc>
          <w:tcPr>
            <w:tcW w:w="540" w:type="dxa"/>
            <w:vAlign w:val="bottom"/>
          </w:tcPr>
          <w:p w14:paraId="3E3593C9"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23</w:t>
            </w:r>
          </w:p>
        </w:tc>
        <w:tc>
          <w:tcPr>
            <w:tcW w:w="1168" w:type="dxa"/>
            <w:vAlign w:val="bottom"/>
          </w:tcPr>
          <w:p w14:paraId="287362DC"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3.74 (0.53)</w:t>
            </w:r>
          </w:p>
        </w:tc>
      </w:tr>
      <w:tr w:rsidR="002D193C" w:rsidRPr="00E33192" w14:paraId="043F7646" w14:textId="77777777" w:rsidTr="00354BEC">
        <w:tc>
          <w:tcPr>
            <w:tcW w:w="5130" w:type="dxa"/>
            <w:vAlign w:val="bottom"/>
          </w:tcPr>
          <w:p w14:paraId="5254C83C" w14:textId="77777777" w:rsidR="002D193C" w:rsidRPr="00E33192" w:rsidRDefault="002D193C" w:rsidP="002D193C">
            <w:pPr>
              <w:ind w:left="345" w:hanging="90"/>
              <w:contextualSpacing/>
              <w:rPr>
                <w:rFonts w:ascii="MS Reference Sans Serif" w:hAnsi="MS Reference Sans Serif" w:cs="Times New Roman"/>
              </w:rPr>
            </w:pPr>
            <w:r w:rsidRPr="00E33192">
              <w:rPr>
                <w:rFonts w:ascii="MS Reference Sans Serif" w:hAnsi="MS Reference Sans Serif" w:cs="Times New Roman"/>
              </w:rPr>
              <w:t>Implementing instructional strategies that allow CLD students and English Learners to demonstrate student learning.</w:t>
            </w:r>
          </w:p>
        </w:tc>
        <w:tc>
          <w:tcPr>
            <w:tcW w:w="471" w:type="dxa"/>
            <w:vAlign w:val="bottom"/>
          </w:tcPr>
          <w:p w14:paraId="19928316"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vAlign w:val="bottom"/>
          </w:tcPr>
          <w:p w14:paraId="24BB9BF1"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96" w:type="dxa"/>
            <w:vAlign w:val="bottom"/>
          </w:tcPr>
          <w:p w14:paraId="4C5A21D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4</w:t>
            </w:r>
          </w:p>
        </w:tc>
        <w:tc>
          <w:tcPr>
            <w:tcW w:w="496" w:type="dxa"/>
            <w:vAlign w:val="bottom"/>
          </w:tcPr>
          <w:p w14:paraId="38D07B1D"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19</w:t>
            </w:r>
          </w:p>
        </w:tc>
        <w:tc>
          <w:tcPr>
            <w:tcW w:w="540" w:type="dxa"/>
            <w:vAlign w:val="bottom"/>
          </w:tcPr>
          <w:p w14:paraId="310FCAB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23</w:t>
            </w:r>
          </w:p>
        </w:tc>
        <w:tc>
          <w:tcPr>
            <w:tcW w:w="1168" w:type="dxa"/>
            <w:vAlign w:val="bottom"/>
          </w:tcPr>
          <w:p w14:paraId="45E1D89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3.83 (0.38)</w:t>
            </w:r>
          </w:p>
        </w:tc>
      </w:tr>
      <w:tr w:rsidR="002D193C" w:rsidRPr="00E33192" w14:paraId="4181DB5B" w14:textId="77777777" w:rsidTr="00354BEC">
        <w:tc>
          <w:tcPr>
            <w:tcW w:w="5130" w:type="dxa"/>
            <w:vAlign w:val="bottom"/>
          </w:tcPr>
          <w:p w14:paraId="11A9053E" w14:textId="77777777" w:rsidR="002D193C" w:rsidRPr="00E33192" w:rsidRDefault="002D193C" w:rsidP="002D193C">
            <w:pPr>
              <w:ind w:left="345" w:hanging="90"/>
              <w:contextualSpacing/>
              <w:rPr>
                <w:rFonts w:ascii="MS Reference Sans Serif" w:hAnsi="MS Reference Sans Serif" w:cs="Times New Roman"/>
              </w:rPr>
            </w:pPr>
            <w:r w:rsidRPr="00E33192">
              <w:rPr>
                <w:rFonts w:ascii="MS Reference Sans Serif" w:hAnsi="MS Reference Sans Serif" w:cs="Times New Roman"/>
              </w:rPr>
              <w:t>Integrating instructional practices that apply knowledge of teaching academic vocabulary and target language.</w:t>
            </w:r>
          </w:p>
        </w:tc>
        <w:tc>
          <w:tcPr>
            <w:tcW w:w="471" w:type="dxa"/>
            <w:vAlign w:val="bottom"/>
          </w:tcPr>
          <w:p w14:paraId="1C3ADCA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vAlign w:val="bottom"/>
          </w:tcPr>
          <w:p w14:paraId="192F2D2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96" w:type="dxa"/>
            <w:vAlign w:val="bottom"/>
          </w:tcPr>
          <w:p w14:paraId="41E35BF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6</w:t>
            </w:r>
          </w:p>
        </w:tc>
        <w:tc>
          <w:tcPr>
            <w:tcW w:w="496" w:type="dxa"/>
            <w:vAlign w:val="bottom"/>
          </w:tcPr>
          <w:p w14:paraId="4A4C4B81"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17</w:t>
            </w:r>
          </w:p>
        </w:tc>
        <w:tc>
          <w:tcPr>
            <w:tcW w:w="540" w:type="dxa"/>
            <w:vAlign w:val="bottom"/>
          </w:tcPr>
          <w:p w14:paraId="6BF96AD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23</w:t>
            </w:r>
          </w:p>
        </w:tc>
        <w:tc>
          <w:tcPr>
            <w:tcW w:w="1168" w:type="dxa"/>
            <w:vAlign w:val="bottom"/>
          </w:tcPr>
          <w:p w14:paraId="5A8528F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3.74 (0.44)</w:t>
            </w:r>
          </w:p>
        </w:tc>
      </w:tr>
      <w:tr w:rsidR="002D193C" w:rsidRPr="00E33192" w14:paraId="6653EF6E" w14:textId="77777777" w:rsidTr="00354BEC">
        <w:tc>
          <w:tcPr>
            <w:tcW w:w="5130" w:type="dxa"/>
            <w:vAlign w:val="bottom"/>
          </w:tcPr>
          <w:p w14:paraId="2DC91869" w14:textId="77777777" w:rsidR="002D193C" w:rsidRPr="00E33192" w:rsidRDefault="002D193C" w:rsidP="002D193C">
            <w:pPr>
              <w:ind w:left="-30"/>
              <w:contextualSpacing/>
              <w:rPr>
                <w:rFonts w:ascii="MS Reference Sans Serif" w:hAnsi="MS Reference Sans Serif" w:cs="Times New Roman"/>
                <w:u w:val="single"/>
              </w:rPr>
            </w:pPr>
            <w:r w:rsidRPr="00E33192">
              <w:rPr>
                <w:rFonts w:ascii="MS Reference Sans Serif" w:hAnsi="MS Reference Sans Serif" w:cs="Times New Roman"/>
                <w:u w:val="single"/>
              </w:rPr>
              <w:t>Teaching People of Other Cultures</w:t>
            </w:r>
          </w:p>
        </w:tc>
        <w:tc>
          <w:tcPr>
            <w:tcW w:w="471" w:type="dxa"/>
            <w:vAlign w:val="bottom"/>
          </w:tcPr>
          <w:p w14:paraId="16BA52A2" w14:textId="77777777" w:rsidR="002D193C" w:rsidRPr="00E33192" w:rsidRDefault="002D193C" w:rsidP="002D193C">
            <w:pPr>
              <w:contextualSpacing/>
              <w:rPr>
                <w:rFonts w:ascii="MS Reference Sans Serif" w:hAnsi="MS Reference Sans Serif" w:cs="Times New Roman"/>
              </w:rPr>
            </w:pPr>
          </w:p>
        </w:tc>
        <w:tc>
          <w:tcPr>
            <w:tcW w:w="472" w:type="dxa"/>
            <w:vAlign w:val="bottom"/>
          </w:tcPr>
          <w:p w14:paraId="0500C634" w14:textId="77777777" w:rsidR="002D193C" w:rsidRPr="00E33192" w:rsidRDefault="002D193C" w:rsidP="002D193C">
            <w:pPr>
              <w:contextualSpacing/>
              <w:rPr>
                <w:rFonts w:ascii="MS Reference Sans Serif" w:hAnsi="MS Reference Sans Serif" w:cs="Times New Roman"/>
              </w:rPr>
            </w:pPr>
          </w:p>
        </w:tc>
        <w:tc>
          <w:tcPr>
            <w:tcW w:w="496" w:type="dxa"/>
            <w:vAlign w:val="bottom"/>
          </w:tcPr>
          <w:p w14:paraId="09C078F5" w14:textId="77777777" w:rsidR="002D193C" w:rsidRPr="00E33192" w:rsidRDefault="002D193C" w:rsidP="002D193C">
            <w:pPr>
              <w:contextualSpacing/>
              <w:rPr>
                <w:rFonts w:ascii="MS Reference Sans Serif" w:hAnsi="MS Reference Sans Serif" w:cs="Times New Roman"/>
              </w:rPr>
            </w:pPr>
          </w:p>
        </w:tc>
        <w:tc>
          <w:tcPr>
            <w:tcW w:w="496" w:type="dxa"/>
            <w:vAlign w:val="bottom"/>
          </w:tcPr>
          <w:p w14:paraId="37ED0E18" w14:textId="77777777" w:rsidR="002D193C" w:rsidRPr="00E33192" w:rsidRDefault="002D193C" w:rsidP="002D193C">
            <w:pPr>
              <w:contextualSpacing/>
              <w:rPr>
                <w:rFonts w:ascii="MS Reference Sans Serif" w:hAnsi="MS Reference Sans Serif" w:cs="Times New Roman"/>
              </w:rPr>
            </w:pPr>
          </w:p>
        </w:tc>
        <w:tc>
          <w:tcPr>
            <w:tcW w:w="540" w:type="dxa"/>
            <w:vAlign w:val="bottom"/>
          </w:tcPr>
          <w:p w14:paraId="1C428650" w14:textId="77777777" w:rsidR="002D193C" w:rsidRPr="00E33192" w:rsidRDefault="002D193C" w:rsidP="002D193C">
            <w:pPr>
              <w:contextualSpacing/>
              <w:rPr>
                <w:rFonts w:ascii="MS Reference Sans Serif" w:hAnsi="MS Reference Sans Serif" w:cs="Times New Roman"/>
              </w:rPr>
            </w:pPr>
          </w:p>
        </w:tc>
        <w:tc>
          <w:tcPr>
            <w:tcW w:w="1168" w:type="dxa"/>
            <w:vAlign w:val="bottom"/>
          </w:tcPr>
          <w:p w14:paraId="3F276B80" w14:textId="77777777" w:rsidR="002D193C" w:rsidRPr="00E33192" w:rsidRDefault="002D193C" w:rsidP="002D193C">
            <w:pPr>
              <w:contextualSpacing/>
              <w:rPr>
                <w:rFonts w:ascii="MS Reference Sans Serif" w:hAnsi="MS Reference Sans Serif" w:cs="Times New Roman"/>
              </w:rPr>
            </w:pPr>
          </w:p>
        </w:tc>
      </w:tr>
      <w:tr w:rsidR="002D193C" w:rsidRPr="00E33192" w14:paraId="2DFD7016" w14:textId="77777777" w:rsidTr="00354BEC">
        <w:tc>
          <w:tcPr>
            <w:tcW w:w="5130" w:type="dxa"/>
            <w:tcBorders>
              <w:bottom w:val="single" w:sz="4" w:space="0" w:color="auto"/>
            </w:tcBorders>
            <w:vAlign w:val="bottom"/>
          </w:tcPr>
          <w:p w14:paraId="3D153850" w14:textId="77777777" w:rsidR="002D193C" w:rsidRPr="00E33192" w:rsidRDefault="002D193C" w:rsidP="002D193C">
            <w:pPr>
              <w:ind w:left="240"/>
              <w:contextualSpacing/>
              <w:rPr>
                <w:rFonts w:ascii="MS Reference Sans Serif" w:hAnsi="MS Reference Sans Serif" w:cs="Times New Roman"/>
              </w:rPr>
            </w:pPr>
            <w:r w:rsidRPr="00E33192">
              <w:rPr>
                <w:rFonts w:ascii="MS Reference Sans Serif" w:hAnsi="MS Reference Sans Serif" w:cs="Times New Roman"/>
              </w:rPr>
              <w:t>Dealing with students from different cultures.</w:t>
            </w:r>
          </w:p>
        </w:tc>
        <w:tc>
          <w:tcPr>
            <w:tcW w:w="471" w:type="dxa"/>
            <w:tcBorders>
              <w:bottom w:val="single" w:sz="4" w:space="0" w:color="auto"/>
            </w:tcBorders>
            <w:vAlign w:val="bottom"/>
          </w:tcPr>
          <w:p w14:paraId="721E175F"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0</w:t>
            </w:r>
          </w:p>
        </w:tc>
        <w:tc>
          <w:tcPr>
            <w:tcW w:w="472" w:type="dxa"/>
            <w:tcBorders>
              <w:bottom w:val="single" w:sz="4" w:space="0" w:color="auto"/>
            </w:tcBorders>
            <w:vAlign w:val="bottom"/>
          </w:tcPr>
          <w:p w14:paraId="07738E34"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w:t>
            </w:r>
          </w:p>
        </w:tc>
        <w:tc>
          <w:tcPr>
            <w:tcW w:w="496" w:type="dxa"/>
            <w:tcBorders>
              <w:bottom w:val="single" w:sz="4" w:space="0" w:color="auto"/>
            </w:tcBorders>
            <w:vAlign w:val="bottom"/>
          </w:tcPr>
          <w:p w14:paraId="7723099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7</w:t>
            </w:r>
          </w:p>
        </w:tc>
        <w:tc>
          <w:tcPr>
            <w:tcW w:w="496" w:type="dxa"/>
            <w:tcBorders>
              <w:bottom w:val="single" w:sz="4" w:space="0" w:color="auto"/>
            </w:tcBorders>
            <w:vAlign w:val="bottom"/>
          </w:tcPr>
          <w:p w14:paraId="16333E72"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11</w:t>
            </w:r>
          </w:p>
        </w:tc>
        <w:tc>
          <w:tcPr>
            <w:tcW w:w="540" w:type="dxa"/>
            <w:tcBorders>
              <w:bottom w:val="single" w:sz="4" w:space="0" w:color="auto"/>
            </w:tcBorders>
            <w:vAlign w:val="bottom"/>
          </w:tcPr>
          <w:p w14:paraId="46EF6093"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20</w:t>
            </w:r>
          </w:p>
        </w:tc>
        <w:tc>
          <w:tcPr>
            <w:tcW w:w="1168" w:type="dxa"/>
            <w:tcBorders>
              <w:bottom w:val="single" w:sz="4" w:space="0" w:color="auto"/>
            </w:tcBorders>
            <w:vAlign w:val="bottom"/>
          </w:tcPr>
          <w:p w14:paraId="6858B3FA" w14:textId="77777777" w:rsidR="002D193C" w:rsidRPr="00E33192" w:rsidRDefault="002D193C" w:rsidP="002D193C">
            <w:pPr>
              <w:contextualSpacing/>
              <w:rPr>
                <w:rFonts w:ascii="MS Reference Sans Serif" w:hAnsi="MS Reference Sans Serif" w:cs="Times New Roman"/>
              </w:rPr>
            </w:pPr>
            <w:r w:rsidRPr="00E33192">
              <w:rPr>
                <w:rFonts w:ascii="MS Reference Sans Serif" w:hAnsi="MS Reference Sans Serif" w:cs="Times New Roman"/>
              </w:rPr>
              <w:t>3.45 (0.67)</w:t>
            </w:r>
          </w:p>
        </w:tc>
      </w:tr>
    </w:tbl>
    <w:p w14:paraId="6EC1D5E7" w14:textId="77777777" w:rsidR="002D193C" w:rsidRPr="00E33192" w:rsidRDefault="002D193C" w:rsidP="002D193C">
      <w:pPr>
        <w:contextualSpacing/>
        <w:jc w:val="left"/>
        <w:rPr>
          <w:rFonts w:ascii="MS Reference Sans Serif" w:hAnsi="MS Reference Sans Serif"/>
          <w:sz w:val="22"/>
        </w:rPr>
      </w:pPr>
    </w:p>
    <w:p w14:paraId="1D37FDED" w14:textId="356E064F" w:rsidR="002D193C"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Each course was perceived by the participants to be effective, with effectiveness rating for each course ranging between 90% and 98.55%. In the open-ended survey responses, treatment teachers expressed </w:t>
      </w:r>
      <w:r w:rsidR="00120F64">
        <w:rPr>
          <w:rFonts w:ascii="MS Reference Sans Serif" w:hAnsi="MS Reference Sans Serif"/>
          <w:sz w:val="22"/>
        </w:rPr>
        <w:t xml:space="preserve">that </w:t>
      </w:r>
      <w:r w:rsidRPr="00E33192">
        <w:rPr>
          <w:rFonts w:ascii="MS Reference Sans Serif" w:hAnsi="MS Reference Sans Serif"/>
          <w:sz w:val="22"/>
        </w:rPr>
        <w:t>they felt supported by the instructors and the courses were informative though challenging.</w:t>
      </w:r>
    </w:p>
    <w:p w14:paraId="08151C15" w14:textId="77777777" w:rsidR="002D193C" w:rsidRPr="00E33192" w:rsidRDefault="002D193C" w:rsidP="002D193C">
      <w:pPr>
        <w:contextualSpacing/>
        <w:jc w:val="left"/>
        <w:rPr>
          <w:rFonts w:ascii="MS Reference Sans Serif" w:hAnsi="MS Reference Sans Serif"/>
          <w:sz w:val="22"/>
        </w:rPr>
      </w:pPr>
    </w:p>
    <w:p w14:paraId="2CE300D6" w14:textId="77777777" w:rsidR="002D193C" w:rsidRPr="002B01BA" w:rsidRDefault="002D193C" w:rsidP="002D193C">
      <w:pPr>
        <w:pStyle w:val="Heading2"/>
        <w:jc w:val="left"/>
        <w:rPr>
          <w:rFonts w:ascii="MS Reference Sans Serif" w:hAnsi="MS Reference Sans Serif"/>
          <w:b/>
          <w:bCs/>
          <w:i/>
          <w:color w:val="auto"/>
          <w:sz w:val="22"/>
          <w:szCs w:val="22"/>
        </w:rPr>
      </w:pPr>
      <w:r w:rsidRPr="002B01BA">
        <w:rPr>
          <w:rFonts w:ascii="MS Reference Sans Serif" w:hAnsi="MS Reference Sans Serif"/>
          <w:b/>
          <w:bCs/>
          <w:color w:val="auto"/>
          <w:sz w:val="22"/>
          <w:szCs w:val="22"/>
        </w:rPr>
        <w:t>Treatment Teachers’ Perceptions of Coaching</w:t>
      </w:r>
    </w:p>
    <w:p w14:paraId="1BA3D5DB" w14:textId="77777777" w:rsidR="002D193C" w:rsidRPr="00241F54" w:rsidRDefault="002D193C" w:rsidP="002D193C">
      <w:pPr>
        <w:jc w:val="left"/>
      </w:pPr>
    </w:p>
    <w:p w14:paraId="774FEA4D" w14:textId="77777777"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color w:val="000000"/>
          <w:sz w:val="22"/>
        </w:rPr>
        <w:t xml:space="preserve">Participants received a median of two face-to-face instructional coaching sessions. </w:t>
      </w:r>
      <w:r w:rsidRPr="00E33192">
        <w:rPr>
          <w:rFonts w:ascii="MS Reference Sans Serif" w:hAnsi="MS Reference Sans Serif"/>
          <w:sz w:val="22"/>
        </w:rPr>
        <w:t xml:space="preserve">Of the 23 teachers enrolled, 18 met with an instructional coach twice, three met </w:t>
      </w:r>
      <w:r w:rsidRPr="00E33192">
        <w:rPr>
          <w:rFonts w:ascii="MS Reference Sans Serif" w:hAnsi="MS Reference Sans Serif"/>
          <w:sz w:val="22"/>
        </w:rPr>
        <w:lastRenderedPageBreak/>
        <w:t>once, and two met for three times. Participants were asked to respond to an open-ended question to reflect on the effectiveness of coaching. They expressed that the coaching sessions helped develop their goals and provided useful feedback. One teacher situated her response in the broader demands placed on teachers:</w:t>
      </w:r>
    </w:p>
    <w:p w14:paraId="4FDC9192" w14:textId="77777777" w:rsidR="002D193C" w:rsidRPr="00E33192" w:rsidRDefault="002D193C" w:rsidP="002D193C">
      <w:pPr>
        <w:ind w:left="720"/>
        <w:contextualSpacing/>
        <w:jc w:val="left"/>
        <w:rPr>
          <w:rFonts w:ascii="MS Reference Sans Serif" w:hAnsi="MS Reference Sans Serif"/>
          <w:sz w:val="22"/>
        </w:rPr>
      </w:pPr>
    </w:p>
    <w:p w14:paraId="5BC962C8" w14:textId="45B1AFC6" w:rsidR="002D193C" w:rsidRPr="00E33192" w:rsidRDefault="002D193C" w:rsidP="002D193C">
      <w:pPr>
        <w:ind w:left="720"/>
        <w:contextualSpacing/>
        <w:jc w:val="left"/>
        <w:rPr>
          <w:rFonts w:ascii="MS Reference Sans Serif" w:hAnsi="MS Reference Sans Serif"/>
          <w:sz w:val="22"/>
        </w:rPr>
      </w:pPr>
      <w:r w:rsidRPr="00E33192">
        <w:rPr>
          <w:rFonts w:ascii="MS Reference Sans Serif" w:hAnsi="MS Reference Sans Serif"/>
          <w:sz w:val="22"/>
        </w:rPr>
        <w:t>In education, we’re often given a list of things that we need to accomplish daily, weekly, and annually. The coaching experience allows us to take the list of expectations and walk with someone else through the process of applying it appropriately to your age group of students and the diverse needs that you have in the classroom.</w:t>
      </w:r>
      <w:r w:rsidR="00316D42">
        <w:rPr>
          <w:rFonts w:ascii="MS Reference Sans Serif" w:hAnsi="MS Reference Sans Serif"/>
          <w:sz w:val="22"/>
        </w:rPr>
        <w:t xml:space="preserve"> </w:t>
      </w:r>
    </w:p>
    <w:p w14:paraId="57DF7D34" w14:textId="77777777" w:rsidR="002D193C" w:rsidRPr="00E33192" w:rsidRDefault="002D193C" w:rsidP="002D193C">
      <w:pPr>
        <w:ind w:left="720"/>
        <w:contextualSpacing/>
        <w:jc w:val="left"/>
        <w:rPr>
          <w:rFonts w:ascii="MS Reference Sans Serif" w:hAnsi="MS Reference Sans Serif"/>
          <w:sz w:val="22"/>
        </w:rPr>
      </w:pPr>
    </w:p>
    <w:p w14:paraId="33D318F8" w14:textId="77777777" w:rsidR="002D193C"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Teachers that commented on the coaching experience felt the coach helped them navigate implementing the newly learned information into their classrooms.</w:t>
      </w:r>
    </w:p>
    <w:p w14:paraId="4471BD35" w14:textId="77777777" w:rsidR="002D193C" w:rsidRPr="00E33192" w:rsidRDefault="002D193C" w:rsidP="002D193C">
      <w:pPr>
        <w:contextualSpacing/>
        <w:jc w:val="left"/>
        <w:rPr>
          <w:rFonts w:ascii="MS Reference Sans Serif" w:hAnsi="MS Reference Sans Serif"/>
          <w:sz w:val="22"/>
        </w:rPr>
      </w:pPr>
    </w:p>
    <w:p w14:paraId="5A746F4C" w14:textId="77777777" w:rsidR="002D193C" w:rsidRDefault="002D193C" w:rsidP="002B01BA">
      <w:pPr>
        <w:pStyle w:val="Heading1"/>
        <w:spacing w:after="0"/>
        <w:jc w:val="center"/>
        <w:rPr>
          <w:rFonts w:ascii="MS Reference Sans Serif" w:hAnsi="MS Reference Sans Serif"/>
          <w:sz w:val="22"/>
          <w:szCs w:val="22"/>
        </w:rPr>
      </w:pPr>
      <w:r w:rsidRPr="00E33192">
        <w:rPr>
          <w:rFonts w:ascii="MS Reference Sans Serif" w:hAnsi="MS Reference Sans Serif"/>
          <w:sz w:val="22"/>
          <w:szCs w:val="22"/>
        </w:rPr>
        <w:t>Discussion</w:t>
      </w:r>
    </w:p>
    <w:p w14:paraId="3FDE96AB" w14:textId="77777777" w:rsidR="002D193C" w:rsidRPr="00241F54" w:rsidRDefault="002D193C" w:rsidP="002D193C">
      <w:pPr>
        <w:jc w:val="left"/>
      </w:pPr>
    </w:p>
    <w:p w14:paraId="5946F2B7" w14:textId="10D96013"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The purpose of this pilot study was to determine the effectiveness of a purposefully designed job-embedded online PD program for </w:t>
      </w:r>
      <w:r w:rsidR="00D670DE">
        <w:rPr>
          <w:rFonts w:ascii="MS Reference Sans Serif" w:hAnsi="MS Reference Sans Serif"/>
          <w:sz w:val="22"/>
        </w:rPr>
        <w:t>in-service</w:t>
      </w:r>
      <w:r w:rsidRPr="00E33192">
        <w:rPr>
          <w:rFonts w:ascii="MS Reference Sans Serif" w:hAnsi="MS Reference Sans Serif"/>
          <w:sz w:val="22"/>
        </w:rPr>
        <w:t xml:space="preserve"> teachers that incorporated interactive CRT coursework, practical field experience, and instructional coaching. Through a dialogical framework in the form of discussion boards, asynchronous audio-visual comments, and coaching conversations, treatment teachers increased their CRT knowledge and skill set for EL and CLD students. Teachers also reflected on their CRT through coursework assignments and post-observation reflections. </w:t>
      </w:r>
    </w:p>
    <w:p w14:paraId="11DA3318" w14:textId="77777777" w:rsidR="002D193C" w:rsidRPr="00E33192" w:rsidRDefault="002D193C" w:rsidP="002D193C">
      <w:pPr>
        <w:contextualSpacing/>
        <w:jc w:val="left"/>
        <w:rPr>
          <w:rFonts w:ascii="MS Reference Sans Serif" w:hAnsi="MS Reference Sans Serif"/>
          <w:sz w:val="22"/>
        </w:rPr>
      </w:pPr>
    </w:p>
    <w:p w14:paraId="7AE6E6AC" w14:textId="340CBF96"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The results of the structured classroom observations are the first measure of this program’s effectiveness. While both treatment and control teachers had essentially equivalent levels of implementing CRT practices in the beginning, treatment teachers had positive, statistically significant differences in their observed levels of CRT after completing coursework and coaching. The largest effects of intervention were in relation to </w:t>
      </w:r>
      <w:r w:rsidR="006D555A">
        <w:rPr>
          <w:rFonts w:ascii="MS Reference Sans Serif" w:hAnsi="MS Reference Sans Serif"/>
          <w:sz w:val="22"/>
        </w:rPr>
        <w:t>ISCRT</w:t>
      </w:r>
      <w:r w:rsidRPr="00E33192">
        <w:rPr>
          <w:rFonts w:ascii="MS Reference Sans Serif" w:hAnsi="MS Reference Sans Serif"/>
          <w:sz w:val="22"/>
        </w:rPr>
        <w:t xml:space="preserve"> standards: (a) </w:t>
      </w:r>
      <w:r w:rsidRPr="007819BB">
        <w:rPr>
          <w:rFonts w:ascii="MS Reference Sans Serif" w:hAnsi="MS Reference Sans Serif"/>
          <w:iCs/>
          <w:sz w:val="22"/>
        </w:rPr>
        <w:t>Joint Productive Activity,</w:t>
      </w:r>
      <w:r w:rsidRPr="00E33192">
        <w:rPr>
          <w:rFonts w:ascii="MS Reference Sans Serif" w:hAnsi="MS Reference Sans Serif"/>
          <w:iCs/>
          <w:sz w:val="22"/>
        </w:rPr>
        <w:t xml:space="preserve"> </w:t>
      </w:r>
      <w:r w:rsidR="003741B3">
        <w:rPr>
          <w:rFonts w:ascii="MS Reference Sans Serif" w:hAnsi="MS Reference Sans Serif"/>
          <w:iCs/>
          <w:sz w:val="22"/>
        </w:rPr>
        <w:t>in which</w:t>
      </w:r>
      <w:r w:rsidRPr="00E33192">
        <w:rPr>
          <w:rFonts w:ascii="MS Reference Sans Serif" w:hAnsi="MS Reference Sans Serif"/>
          <w:iCs/>
          <w:sz w:val="22"/>
        </w:rPr>
        <w:t xml:space="preserve"> the teacher facilitates learning through academic, linguistic, and cultural commonalities while students work in collaborative groups; (b) </w:t>
      </w:r>
      <w:r w:rsidRPr="007819BB">
        <w:rPr>
          <w:rFonts w:ascii="MS Reference Sans Serif" w:hAnsi="MS Reference Sans Serif"/>
          <w:iCs/>
          <w:sz w:val="22"/>
        </w:rPr>
        <w:t xml:space="preserve">Challenging Activities, </w:t>
      </w:r>
      <w:r w:rsidR="003741B3">
        <w:rPr>
          <w:rFonts w:ascii="MS Reference Sans Serif" w:hAnsi="MS Reference Sans Serif"/>
          <w:iCs/>
          <w:sz w:val="22"/>
        </w:rPr>
        <w:t>in which</w:t>
      </w:r>
      <w:r w:rsidR="003741B3" w:rsidRPr="00E33192">
        <w:rPr>
          <w:rFonts w:ascii="MS Reference Sans Serif" w:hAnsi="MS Reference Sans Serif"/>
          <w:iCs/>
          <w:sz w:val="22"/>
        </w:rPr>
        <w:t xml:space="preserve"> </w:t>
      </w:r>
      <w:r w:rsidRPr="007819BB">
        <w:rPr>
          <w:rFonts w:ascii="MS Reference Sans Serif" w:hAnsi="MS Reference Sans Serif"/>
          <w:iCs/>
          <w:sz w:val="22"/>
        </w:rPr>
        <w:t xml:space="preserve">the teacher simultaneously motivates and challenges students; and (c) Instructional Conversation, </w:t>
      </w:r>
      <w:r w:rsidR="003741B3">
        <w:rPr>
          <w:rFonts w:ascii="MS Reference Sans Serif" w:hAnsi="MS Reference Sans Serif"/>
          <w:iCs/>
          <w:sz w:val="22"/>
        </w:rPr>
        <w:t>in which</w:t>
      </w:r>
      <w:r w:rsidR="003741B3" w:rsidRPr="00E33192">
        <w:rPr>
          <w:rFonts w:ascii="MS Reference Sans Serif" w:hAnsi="MS Reference Sans Serif"/>
          <w:iCs/>
          <w:sz w:val="22"/>
        </w:rPr>
        <w:t xml:space="preserve"> </w:t>
      </w:r>
      <w:r w:rsidRPr="007819BB">
        <w:rPr>
          <w:rFonts w:ascii="MS Reference Sans Serif" w:hAnsi="MS Reference Sans Serif"/>
          <w:iCs/>
          <w:sz w:val="22"/>
        </w:rPr>
        <w:t xml:space="preserve">the presence of unscripted dialogical communication between teachers and students bridges prior and new knowledge (Herrera &amp; </w:t>
      </w:r>
      <w:proofErr w:type="spellStart"/>
      <w:r w:rsidRPr="007819BB">
        <w:rPr>
          <w:rFonts w:ascii="MS Reference Sans Serif" w:hAnsi="MS Reference Sans Serif"/>
          <w:iCs/>
          <w:sz w:val="22"/>
        </w:rPr>
        <w:t>Kavimandan</w:t>
      </w:r>
      <w:proofErr w:type="spellEnd"/>
      <w:r w:rsidRPr="007819BB">
        <w:rPr>
          <w:rFonts w:ascii="MS Reference Sans Serif" w:hAnsi="MS Reference Sans Serif"/>
          <w:iCs/>
          <w:sz w:val="22"/>
        </w:rPr>
        <w:t>, 2019).</w:t>
      </w:r>
      <w:r w:rsidR="00316D42" w:rsidRPr="007819BB">
        <w:rPr>
          <w:rFonts w:ascii="MS Reference Sans Serif" w:hAnsi="MS Reference Sans Serif"/>
          <w:iCs/>
          <w:sz w:val="22"/>
        </w:rPr>
        <w:t xml:space="preserve"> </w:t>
      </w:r>
      <w:r w:rsidRPr="007819BB">
        <w:rPr>
          <w:rFonts w:ascii="MS Reference Sans Serif" w:hAnsi="MS Reference Sans Serif"/>
          <w:iCs/>
          <w:sz w:val="22"/>
        </w:rPr>
        <w:t>The standard of Language and Literature Development,</w:t>
      </w:r>
      <w:r w:rsidRPr="00E33192">
        <w:rPr>
          <w:rFonts w:ascii="MS Reference Sans Serif" w:hAnsi="MS Reference Sans Serif"/>
          <w:i/>
          <w:iCs/>
          <w:sz w:val="22"/>
        </w:rPr>
        <w:t xml:space="preserve"> </w:t>
      </w:r>
      <w:r w:rsidR="0001335A">
        <w:rPr>
          <w:rFonts w:ascii="MS Reference Sans Serif" w:hAnsi="MS Reference Sans Serif"/>
          <w:iCs/>
          <w:sz w:val="22"/>
        </w:rPr>
        <w:t>in which</w:t>
      </w:r>
      <w:r w:rsidR="0001335A" w:rsidRPr="00E33192">
        <w:rPr>
          <w:rFonts w:ascii="MS Reference Sans Serif" w:hAnsi="MS Reference Sans Serif"/>
          <w:iCs/>
          <w:sz w:val="22"/>
        </w:rPr>
        <w:t xml:space="preserve"> </w:t>
      </w:r>
      <w:r w:rsidRPr="00E33192">
        <w:rPr>
          <w:rFonts w:ascii="MS Reference Sans Serif" w:hAnsi="MS Reference Sans Serif"/>
          <w:sz w:val="22"/>
        </w:rPr>
        <w:t xml:space="preserve">the teacher takes an assets-based perspective to develop language by utilizing the students’ </w:t>
      </w:r>
      <w:r w:rsidRPr="00E33192">
        <w:rPr>
          <w:rFonts w:ascii="MS Reference Sans Serif" w:hAnsi="MS Reference Sans Serif"/>
          <w:iCs/>
          <w:sz w:val="22"/>
        </w:rPr>
        <w:t>funds of knowledge (Amanti et al., 2005)</w:t>
      </w:r>
      <w:r w:rsidRPr="00E33192">
        <w:rPr>
          <w:rFonts w:ascii="MS Reference Sans Serif" w:hAnsi="MS Reference Sans Serif"/>
          <w:i/>
          <w:iCs/>
          <w:sz w:val="22"/>
        </w:rPr>
        <w:t xml:space="preserve">, </w:t>
      </w:r>
      <w:r w:rsidRPr="00E33192">
        <w:rPr>
          <w:rFonts w:ascii="MS Reference Sans Serif" w:hAnsi="MS Reference Sans Serif"/>
          <w:sz w:val="22"/>
        </w:rPr>
        <w:t xml:space="preserve">also showed a smaller positive effect. </w:t>
      </w:r>
    </w:p>
    <w:p w14:paraId="072C5537" w14:textId="77777777" w:rsidR="002D193C" w:rsidRPr="00E33192" w:rsidRDefault="002D193C" w:rsidP="002D193C">
      <w:pPr>
        <w:contextualSpacing/>
        <w:jc w:val="left"/>
        <w:rPr>
          <w:rFonts w:ascii="MS Reference Sans Serif" w:hAnsi="MS Reference Sans Serif"/>
          <w:sz w:val="22"/>
        </w:rPr>
      </w:pPr>
    </w:p>
    <w:p w14:paraId="4ACDD4DB" w14:textId="7D57F372"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The overall </w:t>
      </w:r>
      <w:r w:rsidR="006D555A">
        <w:rPr>
          <w:rFonts w:ascii="MS Reference Sans Serif" w:hAnsi="MS Reference Sans Serif"/>
          <w:sz w:val="22"/>
        </w:rPr>
        <w:t>ISCRT</w:t>
      </w:r>
      <w:r w:rsidRPr="00E33192">
        <w:rPr>
          <w:rFonts w:ascii="MS Reference Sans Serif" w:hAnsi="MS Reference Sans Serif"/>
          <w:sz w:val="22"/>
        </w:rPr>
        <w:t xml:space="preserve"> composite score for all treatment teachers was positively statistically significant, but this difference could have been even greater if the values of </w:t>
      </w:r>
      <w:r w:rsidRPr="00B07401">
        <w:rPr>
          <w:rFonts w:ascii="MS Reference Sans Serif" w:hAnsi="MS Reference Sans Serif"/>
          <w:sz w:val="22"/>
        </w:rPr>
        <w:t>Contextualization</w:t>
      </w:r>
      <w:r w:rsidRPr="00E33192">
        <w:rPr>
          <w:rFonts w:ascii="MS Reference Sans Serif" w:hAnsi="MS Reference Sans Serif"/>
          <w:sz w:val="22"/>
        </w:rPr>
        <w:t xml:space="preserve"> would have also increased. Both control and treatment teachers showed a decrease in this standard, which is often difficult for teachers who are new to learning about and implementing CRT (Herrera et al., 2011; Wyatt, 2015). </w:t>
      </w:r>
      <w:r w:rsidRPr="00112F37">
        <w:rPr>
          <w:rFonts w:ascii="MS Reference Sans Serif" w:hAnsi="MS Reference Sans Serif"/>
          <w:iCs/>
          <w:sz w:val="22"/>
        </w:rPr>
        <w:t>Contextualization</w:t>
      </w:r>
      <w:r w:rsidRPr="00E33192">
        <w:rPr>
          <w:rFonts w:ascii="MS Reference Sans Serif" w:hAnsi="MS Reference Sans Serif"/>
          <w:sz w:val="22"/>
        </w:rPr>
        <w:t xml:space="preserve"> is difficult because of the dual challenges of limited time to get to know students and of finding a mutual point of reference to unify diverse perspectives (Wyatt, 2015). No teacher self-selected a culturally responsive goal on </w:t>
      </w:r>
      <w:r w:rsidRPr="00D766D1">
        <w:rPr>
          <w:rFonts w:ascii="MS Reference Sans Serif" w:hAnsi="MS Reference Sans Serif"/>
          <w:iCs/>
          <w:sz w:val="22"/>
        </w:rPr>
        <w:lastRenderedPageBreak/>
        <w:t>Contextualization</w:t>
      </w:r>
      <w:r w:rsidRPr="00E33192">
        <w:rPr>
          <w:rFonts w:ascii="MS Reference Sans Serif" w:hAnsi="MS Reference Sans Serif"/>
          <w:sz w:val="22"/>
        </w:rPr>
        <w:t xml:space="preserve"> for the coaching sessions. Perhaps with this additional support, treatment teachers would have implemented higher levels of CRT on this standard and their composite scores. </w:t>
      </w:r>
    </w:p>
    <w:p w14:paraId="556BA009" w14:textId="77777777" w:rsidR="002D193C" w:rsidRPr="00E33192" w:rsidRDefault="002D193C" w:rsidP="002D193C">
      <w:pPr>
        <w:contextualSpacing/>
        <w:jc w:val="left"/>
        <w:rPr>
          <w:rFonts w:ascii="MS Reference Sans Serif" w:hAnsi="MS Reference Sans Serif"/>
          <w:sz w:val="22"/>
        </w:rPr>
      </w:pPr>
    </w:p>
    <w:p w14:paraId="1CE7683E" w14:textId="27B0BF9F" w:rsidR="002D193C" w:rsidRPr="00D766D1"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 xml:space="preserve">Treatment teachers perceived all courses as effective. The courses </w:t>
      </w:r>
      <w:r w:rsidRPr="00D766D1">
        <w:rPr>
          <w:rFonts w:ascii="MS Reference Sans Serif" w:hAnsi="MS Reference Sans Serif"/>
          <w:sz w:val="22"/>
        </w:rPr>
        <w:t>Second Language Assessment and Second Language Methodologies were rated “Very Effective,” with averages of 97.62% and 98.55% respectively. The courses Teaching People of Other Cultures and Second Language Acquisition were rated effective, with respective averages of 90.00% and 91.23%. Treatment teachers shared they found Second Language Methodologies gave them greater insight</w:t>
      </w:r>
      <w:r w:rsidR="00480FC1">
        <w:rPr>
          <w:rFonts w:ascii="MS Reference Sans Serif" w:hAnsi="MS Reference Sans Serif"/>
          <w:sz w:val="22"/>
        </w:rPr>
        <w:t>s</w:t>
      </w:r>
      <w:r w:rsidRPr="00D766D1">
        <w:rPr>
          <w:rFonts w:ascii="MS Reference Sans Serif" w:hAnsi="MS Reference Sans Serif"/>
          <w:sz w:val="22"/>
        </w:rPr>
        <w:t xml:space="preserve"> on creating lesson plans, learning goals, and language objectives while implementing instructional strategies specifically for EL and CLD students. The Teaching People of Other Cultures course stressed the foundational nature of cultural awareness when working with CLD students. Second Language Assessment spoke to the creation and implementation of effective assessments in order to evaluate and enhance EL learning while the scope of Second Language Acquisition was to learn the stages of language development to promote content learning and acquisition. Teachers’ perception of the program as providing strong preparation increases a sense of efficacy (Podolsky et al., 2017)</w:t>
      </w:r>
      <w:r w:rsidR="00153596">
        <w:rPr>
          <w:rFonts w:ascii="MS Reference Sans Serif" w:hAnsi="MS Reference Sans Serif"/>
          <w:sz w:val="22"/>
        </w:rPr>
        <w:t>.</w:t>
      </w:r>
    </w:p>
    <w:p w14:paraId="7496C65F" w14:textId="77777777" w:rsidR="002D193C" w:rsidRPr="00D766D1" w:rsidRDefault="002D193C" w:rsidP="002D193C">
      <w:pPr>
        <w:contextualSpacing/>
        <w:jc w:val="left"/>
        <w:rPr>
          <w:rFonts w:ascii="MS Reference Sans Serif" w:hAnsi="MS Reference Sans Serif"/>
          <w:sz w:val="22"/>
        </w:rPr>
      </w:pPr>
    </w:p>
    <w:p w14:paraId="57451F06" w14:textId="5A6A3810"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Overall, treatment teachers believed the coursework was a relevant program component that increased their CRT knowledge and learning of CLD and EL instructional strategies. The coursework, due to intentional planning of interactive platforms</w:t>
      </w:r>
      <w:r w:rsidR="00186AB1">
        <w:rPr>
          <w:rFonts w:ascii="MS Reference Sans Serif" w:hAnsi="MS Reference Sans Serif"/>
          <w:sz w:val="22"/>
        </w:rPr>
        <w:t>,</w:t>
      </w:r>
      <w:r w:rsidRPr="00E33192">
        <w:rPr>
          <w:rFonts w:ascii="MS Reference Sans Serif" w:hAnsi="MS Reference Sans Serif"/>
          <w:sz w:val="22"/>
        </w:rPr>
        <w:t xml:space="preserve"> such as discussion boards and </w:t>
      </w:r>
      <w:r w:rsidRPr="00E33192">
        <w:rPr>
          <w:rFonts w:ascii="MS Reference Sans Serif" w:hAnsi="MS Reference Sans Serif"/>
          <w:bCs/>
          <w:iCs/>
          <w:sz w:val="22"/>
        </w:rPr>
        <w:t>asynchronous audio-visual comments</w:t>
      </w:r>
      <w:r w:rsidRPr="00E33192">
        <w:rPr>
          <w:rFonts w:ascii="MS Reference Sans Serif" w:hAnsi="MS Reference Sans Serif"/>
          <w:sz w:val="22"/>
        </w:rPr>
        <w:t xml:space="preserve">, functioned as an online, facilitative learning community (Cullen et al., 2013). Accordingly, the courses provided treatment teachers with a shared online meeting place where they were able to (a) facilitate knowledge gains, (b) apply learning, (c) reflect on their own professional development, and (d) examine how their newfound knowledge and skill set affects their students’ learning. </w:t>
      </w:r>
    </w:p>
    <w:p w14:paraId="11C41468" w14:textId="77777777" w:rsidR="002D193C" w:rsidRPr="00E33192" w:rsidRDefault="002D193C" w:rsidP="002D193C">
      <w:pPr>
        <w:contextualSpacing/>
        <w:jc w:val="left"/>
        <w:rPr>
          <w:rFonts w:ascii="MS Reference Sans Serif" w:hAnsi="MS Reference Sans Serif"/>
          <w:sz w:val="22"/>
        </w:rPr>
      </w:pPr>
    </w:p>
    <w:p w14:paraId="2A4F8A7C" w14:textId="2D3D7BE8" w:rsidR="002D193C" w:rsidRPr="00E33192" w:rsidRDefault="002D193C" w:rsidP="002D193C">
      <w:pPr>
        <w:contextualSpacing/>
        <w:jc w:val="left"/>
        <w:rPr>
          <w:rFonts w:ascii="MS Reference Sans Serif" w:hAnsi="MS Reference Sans Serif"/>
          <w:sz w:val="22"/>
        </w:rPr>
      </w:pPr>
      <w:r w:rsidRPr="00E33192">
        <w:rPr>
          <w:rFonts w:ascii="MS Reference Sans Serif" w:hAnsi="MS Reference Sans Serif"/>
          <w:sz w:val="22"/>
        </w:rPr>
        <w:t>Through this pilot study, it appears that instructional coaching played a significant and supportive role as participants navigated learning how to implement the various CRT theories and strategies learned. The dialogical approach used by the instructors utilizes personalization in creating and meeting the goals the teacher sets through professional interaction and partnership (Knight, 2018). Throughout the program</w:t>
      </w:r>
      <w:r w:rsidR="00186AB1">
        <w:rPr>
          <w:rFonts w:ascii="MS Reference Sans Serif" w:hAnsi="MS Reference Sans Serif"/>
          <w:sz w:val="22"/>
        </w:rPr>
        <w:t>,</w:t>
      </w:r>
      <w:r w:rsidRPr="00E33192">
        <w:rPr>
          <w:rFonts w:ascii="MS Reference Sans Serif" w:hAnsi="MS Reference Sans Serif"/>
          <w:sz w:val="22"/>
        </w:rPr>
        <w:t xml:space="preserve"> participants and coaches worked together to discuss goals, strategies, and methodology. With this guidance teachers had the unique opportunity to formatively practice what they had learned within their school context, simultaneously building efficacy as they shared ideas in this dialogical approach. </w:t>
      </w:r>
    </w:p>
    <w:p w14:paraId="4880936F" w14:textId="77777777" w:rsidR="002D193C" w:rsidRPr="00E33192" w:rsidRDefault="002D193C" w:rsidP="002D193C">
      <w:pPr>
        <w:contextualSpacing/>
        <w:jc w:val="left"/>
        <w:rPr>
          <w:rFonts w:ascii="MS Reference Sans Serif" w:hAnsi="MS Reference Sans Serif"/>
          <w:sz w:val="22"/>
        </w:rPr>
      </w:pPr>
    </w:p>
    <w:p w14:paraId="07A4E1BE" w14:textId="2DB09542" w:rsidR="002D193C" w:rsidRPr="00E33192" w:rsidRDefault="002D193C" w:rsidP="002D193C">
      <w:pPr>
        <w:contextualSpacing/>
        <w:jc w:val="left"/>
        <w:rPr>
          <w:rFonts w:ascii="MS Reference Sans Serif" w:hAnsi="MS Reference Sans Serif"/>
          <w:sz w:val="22"/>
        </w:rPr>
      </w:pPr>
      <w:r w:rsidRPr="00E33192">
        <w:rPr>
          <w:rFonts w:ascii="MS Reference Sans Serif" w:eastAsia="Times New Roman" w:hAnsi="MS Reference Sans Serif"/>
          <w:color w:val="000000"/>
          <w:sz w:val="22"/>
        </w:rPr>
        <w:t xml:space="preserve">The present study is not without limitations. The selection of both the treatment and the control groups were not random. The treatment group teachers may have certain characteristics that make them more open to changing instructional practices as indicated by their willingness to enroll in the coursework. The treatment teacher purposely chose the corresponding control teacher. To try to minimize the effects of these non-random groups, the researchers created parameters for the selection of a control teacher. While it is impossible to control for the multitude of factors that influence teacher performance, the statistical </w:t>
      </w:r>
      <w:r w:rsidRPr="00E33192">
        <w:rPr>
          <w:rFonts w:ascii="MS Reference Sans Serif" w:eastAsia="Times New Roman" w:hAnsi="MS Reference Sans Serif"/>
          <w:color w:val="000000"/>
          <w:sz w:val="22"/>
        </w:rPr>
        <w:lastRenderedPageBreak/>
        <w:t>equivalence between treatment and control groups on the pre-observation suggest that these groups were relatively equivalent at the beginning of the study in terms of CRT. An additional limitation to the study is the small sample size. The study was intended to be a pilot of the program’s design and features and to contribute to future programmatic changes. The pretest-posttest analysis allowed for a thorough comparison to be made between the treatment and control groups. Accordingly, the researchers are confident this study presents promising results that may be applied to a larger group in future research.</w:t>
      </w:r>
    </w:p>
    <w:p w14:paraId="5B74F663" w14:textId="77777777" w:rsidR="002D193C" w:rsidRPr="00E33192" w:rsidRDefault="002D193C" w:rsidP="002D193C">
      <w:pPr>
        <w:contextualSpacing/>
        <w:jc w:val="left"/>
        <w:rPr>
          <w:rFonts w:ascii="MS Reference Sans Serif" w:hAnsi="MS Reference Sans Serif"/>
          <w:sz w:val="22"/>
        </w:rPr>
      </w:pPr>
    </w:p>
    <w:p w14:paraId="311D0EEE" w14:textId="77777777" w:rsidR="002D193C" w:rsidRDefault="002D193C" w:rsidP="002B01BA">
      <w:pPr>
        <w:pStyle w:val="Heading1"/>
        <w:spacing w:after="0"/>
        <w:jc w:val="center"/>
        <w:rPr>
          <w:rFonts w:ascii="MS Reference Sans Serif" w:hAnsi="MS Reference Sans Serif"/>
          <w:sz w:val="22"/>
          <w:szCs w:val="22"/>
        </w:rPr>
      </w:pPr>
      <w:r w:rsidRPr="00E33192">
        <w:rPr>
          <w:rFonts w:ascii="MS Reference Sans Serif" w:hAnsi="MS Reference Sans Serif"/>
          <w:sz w:val="22"/>
          <w:szCs w:val="22"/>
        </w:rPr>
        <w:t>Implications</w:t>
      </w:r>
    </w:p>
    <w:p w14:paraId="42D28791" w14:textId="77777777" w:rsidR="002D193C" w:rsidRPr="00241F54" w:rsidRDefault="002D193C" w:rsidP="002D193C">
      <w:pPr>
        <w:jc w:val="left"/>
      </w:pPr>
    </w:p>
    <w:p w14:paraId="21A7ADFA" w14:textId="77777777" w:rsidR="002D193C" w:rsidRPr="00E33192" w:rsidRDefault="002D193C" w:rsidP="002D193C">
      <w:pPr>
        <w:pStyle w:val="ListParagraph"/>
        <w:ind w:left="0"/>
        <w:jc w:val="left"/>
        <w:rPr>
          <w:rFonts w:ascii="MS Reference Sans Serif" w:hAnsi="MS Reference Sans Serif"/>
          <w:sz w:val="22"/>
        </w:rPr>
      </w:pPr>
      <w:r w:rsidRPr="00E33192">
        <w:rPr>
          <w:rFonts w:ascii="MS Reference Sans Serif" w:hAnsi="MS Reference Sans Serif"/>
          <w:sz w:val="22"/>
        </w:rPr>
        <w:t>With an increasing number of EL and CLD students comprising the student body in U.S. PK-12</w:t>
      </w:r>
      <w:r w:rsidRPr="00844FF4">
        <w:rPr>
          <w:rFonts w:ascii="MS Reference Sans Serif" w:hAnsi="MS Reference Sans Serif"/>
          <w:sz w:val="22"/>
        </w:rPr>
        <w:t>th</w:t>
      </w:r>
      <w:r w:rsidRPr="00E33192">
        <w:rPr>
          <w:rFonts w:ascii="MS Reference Sans Serif" w:hAnsi="MS Reference Sans Serif"/>
          <w:sz w:val="22"/>
        </w:rPr>
        <w:t xml:space="preserve"> schools, the achievement gap between ELs and non-ELs is gaining attention (Crawford, 2013; Gibson, 2016). Research supports teacher quality as a determiner of student achievement, and CRT is widely accepted as quality teaching for ELs (</w:t>
      </w:r>
      <w:r w:rsidRPr="00E33192">
        <w:rPr>
          <w:rFonts w:ascii="MS Reference Sans Serif" w:eastAsia="Cambria" w:hAnsi="MS Reference Sans Serif"/>
          <w:bCs/>
          <w:sz w:val="22"/>
        </w:rPr>
        <w:t>García &amp; Kleifgen, 2010;</w:t>
      </w:r>
      <w:r w:rsidRPr="00E33192">
        <w:rPr>
          <w:rFonts w:ascii="MS Reference Sans Serif" w:hAnsi="MS Reference Sans Serif"/>
          <w:sz w:val="22"/>
        </w:rPr>
        <w:t xml:space="preserve"> Gay, 2013, </w:t>
      </w:r>
      <w:r w:rsidRPr="00E33192">
        <w:rPr>
          <w:rFonts w:ascii="MS Reference Sans Serif" w:eastAsia="Times New Roman" w:hAnsi="MS Reference Sans Serif"/>
          <w:sz w:val="22"/>
        </w:rPr>
        <w:t xml:space="preserve">2010; </w:t>
      </w:r>
      <w:r w:rsidRPr="00E33192">
        <w:rPr>
          <w:rFonts w:ascii="MS Reference Sans Serif" w:hAnsi="MS Reference Sans Serif"/>
          <w:sz w:val="22"/>
        </w:rPr>
        <w:t>Herrera, 2016; Ladson-Billings, 2014</w:t>
      </w:r>
      <w:r w:rsidRPr="00E33192">
        <w:rPr>
          <w:rFonts w:ascii="MS Reference Sans Serif" w:eastAsia="Times New Roman" w:hAnsi="MS Reference Sans Serif"/>
          <w:sz w:val="22"/>
        </w:rPr>
        <w:t>; Villegas &amp; Lucas, 2002</w:t>
      </w:r>
      <w:r w:rsidRPr="00E33192">
        <w:rPr>
          <w:rFonts w:ascii="MS Reference Sans Serif" w:hAnsi="MS Reference Sans Serif"/>
          <w:sz w:val="22"/>
        </w:rPr>
        <w:t xml:space="preserve">). Previous research, however, has not focused on comprehensive changes in teacher CRT practices after online PD courses and coaching. </w:t>
      </w:r>
    </w:p>
    <w:p w14:paraId="38CA23AA" w14:textId="77777777" w:rsidR="002D193C" w:rsidRPr="00E33192" w:rsidRDefault="002D193C" w:rsidP="002D193C">
      <w:pPr>
        <w:pStyle w:val="ListParagraph"/>
        <w:ind w:left="0"/>
        <w:jc w:val="left"/>
        <w:rPr>
          <w:rFonts w:ascii="MS Reference Sans Serif" w:hAnsi="MS Reference Sans Serif"/>
          <w:sz w:val="22"/>
        </w:rPr>
      </w:pPr>
    </w:p>
    <w:p w14:paraId="3DC7146A" w14:textId="77777777" w:rsidR="002D193C" w:rsidRPr="00EB76E8" w:rsidRDefault="002D193C" w:rsidP="002D193C">
      <w:pPr>
        <w:pStyle w:val="ListParagraph"/>
        <w:ind w:left="0"/>
        <w:jc w:val="left"/>
        <w:rPr>
          <w:rFonts w:ascii="MS Reference Sans Serif" w:hAnsi="MS Reference Sans Serif"/>
          <w:sz w:val="22"/>
        </w:rPr>
      </w:pPr>
      <w:r w:rsidRPr="00E33192">
        <w:rPr>
          <w:rFonts w:ascii="MS Reference Sans Serif" w:hAnsi="MS Reference Sans Serif"/>
          <w:sz w:val="22"/>
        </w:rPr>
        <w:t xml:space="preserve">In response, the current study examined and compared the change in treatment teacher use of CRT practices after online courses and coaching. The evidence from this pilot study points to a positive change in teachers’ use of CRT practices. A purposively selected control group of teachers who did not participate in the PD and did not increase use of CRT techniques point to a correlation between treatment and increased CRT practices. Future research could build off of these findings by separating the coaching and coursework as variables or using a comparative interrupted time series design (Kim &amp; Steiner, 2016) to observe teachers’ implementation of CRT with and without coaching. </w:t>
      </w:r>
      <w:r w:rsidRPr="00EB76E8">
        <w:rPr>
          <w:rFonts w:ascii="MS Reference Sans Serif" w:hAnsi="MS Reference Sans Serif"/>
          <w:sz w:val="22"/>
        </w:rPr>
        <w:t>In addition, the standard of contextualization should be addressed specifically in future coursework and coaching.</w:t>
      </w:r>
    </w:p>
    <w:p w14:paraId="1966F051" w14:textId="77777777" w:rsidR="002D193C" w:rsidRPr="00E33192" w:rsidRDefault="002D193C" w:rsidP="002D193C">
      <w:pPr>
        <w:pStyle w:val="ListParagraph"/>
        <w:ind w:left="0"/>
        <w:jc w:val="left"/>
        <w:rPr>
          <w:rFonts w:ascii="MS Reference Sans Serif" w:hAnsi="MS Reference Sans Serif"/>
          <w:color w:val="365F91" w:themeColor="accent1" w:themeShade="BF"/>
          <w:sz w:val="22"/>
        </w:rPr>
      </w:pPr>
    </w:p>
    <w:p w14:paraId="1D1E03AF" w14:textId="199B2220" w:rsidR="002D193C" w:rsidRPr="005B4A5D" w:rsidRDefault="002D193C" w:rsidP="002D193C">
      <w:pPr>
        <w:pStyle w:val="ListParagraph"/>
        <w:ind w:left="0"/>
        <w:jc w:val="left"/>
        <w:rPr>
          <w:rFonts w:ascii="MS Reference Sans Serif" w:hAnsi="MS Reference Sans Serif"/>
          <w:sz w:val="22"/>
        </w:rPr>
      </w:pPr>
      <w:r w:rsidRPr="005B4A5D">
        <w:rPr>
          <w:rFonts w:ascii="MS Reference Sans Serif" w:hAnsi="MS Reference Sans Serif"/>
          <w:sz w:val="22"/>
        </w:rPr>
        <w:t xml:space="preserve">With a growing population of K-12 culturally diverse students (U.S. Department of Education, National Center for Education Statistics [NCES], 2019) teachers in higher education, particularly those preparing future teachers and those working with </w:t>
      </w:r>
      <w:r w:rsidR="00D670DE">
        <w:rPr>
          <w:rFonts w:ascii="MS Reference Sans Serif" w:hAnsi="MS Reference Sans Serif"/>
          <w:sz w:val="22"/>
        </w:rPr>
        <w:t>in-service</w:t>
      </w:r>
      <w:r w:rsidRPr="005B4A5D">
        <w:rPr>
          <w:rFonts w:ascii="MS Reference Sans Serif" w:hAnsi="MS Reference Sans Serif"/>
          <w:sz w:val="22"/>
        </w:rPr>
        <w:t xml:space="preserve"> teachers, need to provide elements of CRT within their coursework. Teachers in higher education may also need to take the coach’s role in assisting teachers to adopt new CRT practices, especially in the area of contextualization. Preservice teachers need to apply CRT practices in their field placements and </w:t>
      </w:r>
      <w:r w:rsidR="00D670DE">
        <w:rPr>
          <w:rFonts w:ascii="MS Reference Sans Serif" w:hAnsi="MS Reference Sans Serif"/>
          <w:sz w:val="22"/>
        </w:rPr>
        <w:t>in-service</w:t>
      </w:r>
      <w:r w:rsidRPr="005B4A5D">
        <w:rPr>
          <w:rFonts w:ascii="MS Reference Sans Serif" w:hAnsi="MS Reference Sans Serif"/>
          <w:sz w:val="22"/>
        </w:rPr>
        <w:t xml:space="preserve"> teachers need to be taught and supported in applying CRT practices in their current classroom.</w:t>
      </w:r>
    </w:p>
    <w:p w14:paraId="23800327" w14:textId="77777777" w:rsidR="002D193C" w:rsidRPr="00E33192" w:rsidRDefault="002D193C" w:rsidP="002D193C">
      <w:pPr>
        <w:pStyle w:val="ListParagraph"/>
        <w:ind w:left="0"/>
        <w:jc w:val="left"/>
        <w:rPr>
          <w:rFonts w:ascii="MS Reference Sans Serif" w:hAnsi="MS Reference Sans Serif"/>
          <w:color w:val="365F91" w:themeColor="accent1" w:themeShade="BF"/>
          <w:sz w:val="22"/>
        </w:rPr>
      </w:pPr>
    </w:p>
    <w:p w14:paraId="0105B9F3" w14:textId="5D616928" w:rsidR="002D193C" w:rsidRDefault="002D193C" w:rsidP="002D193C">
      <w:pPr>
        <w:pStyle w:val="ListParagraph"/>
        <w:ind w:left="0"/>
        <w:jc w:val="left"/>
        <w:rPr>
          <w:rFonts w:ascii="MS Reference Sans Serif" w:hAnsi="MS Reference Sans Serif"/>
          <w:sz w:val="22"/>
        </w:rPr>
      </w:pPr>
      <w:r w:rsidRPr="00E33192">
        <w:rPr>
          <w:rFonts w:ascii="MS Reference Sans Serif" w:hAnsi="MS Reference Sans Serif"/>
          <w:sz w:val="22"/>
        </w:rPr>
        <w:t>While further research is needed, this pilot study suggests that quality PD may increase teachers’ use of CRT and</w:t>
      </w:r>
      <w:r w:rsidR="005D122D">
        <w:rPr>
          <w:rFonts w:ascii="MS Reference Sans Serif" w:hAnsi="MS Reference Sans Serif"/>
          <w:sz w:val="22"/>
        </w:rPr>
        <w:t>,</w:t>
      </w:r>
      <w:r w:rsidRPr="00E33192">
        <w:rPr>
          <w:rFonts w:ascii="MS Reference Sans Serif" w:hAnsi="MS Reference Sans Serif"/>
          <w:sz w:val="22"/>
        </w:rPr>
        <w:t xml:space="preserve"> in turn</w:t>
      </w:r>
      <w:r w:rsidR="005D122D">
        <w:rPr>
          <w:rFonts w:ascii="MS Reference Sans Serif" w:hAnsi="MS Reference Sans Serif"/>
          <w:sz w:val="22"/>
        </w:rPr>
        <w:t>,</w:t>
      </w:r>
      <w:r w:rsidRPr="00E33192">
        <w:rPr>
          <w:rFonts w:ascii="MS Reference Sans Serif" w:hAnsi="MS Reference Sans Serif"/>
          <w:sz w:val="22"/>
        </w:rPr>
        <w:t xml:space="preserve"> result in higher quality teaching for EL and CLD students. Furthermore, this study provides evidence that quality online PD for teachers of EL and CLD students should focus on CRT and use dialogical coaching to support teachers.</w:t>
      </w:r>
    </w:p>
    <w:p w14:paraId="25502EF1" w14:textId="10258741" w:rsidR="00A00CB5" w:rsidRDefault="00A00CB5" w:rsidP="002D193C">
      <w:pPr>
        <w:pStyle w:val="ListParagraph"/>
        <w:ind w:left="0"/>
        <w:jc w:val="left"/>
        <w:rPr>
          <w:rFonts w:ascii="MS Reference Sans Serif" w:hAnsi="MS Reference Sans Serif"/>
          <w:sz w:val="22"/>
        </w:rPr>
      </w:pPr>
    </w:p>
    <w:p w14:paraId="0AC288D5" w14:textId="4A483BBD" w:rsidR="00A00CB5" w:rsidRPr="00A00CB5" w:rsidRDefault="00A00CB5" w:rsidP="00A00CB5">
      <w:pPr>
        <w:pStyle w:val="ListParagraph"/>
        <w:ind w:left="0"/>
        <w:rPr>
          <w:rFonts w:ascii="MS Reference Sans Serif" w:hAnsi="MS Reference Sans Serif"/>
          <w:b/>
          <w:bCs/>
          <w:sz w:val="22"/>
        </w:rPr>
      </w:pPr>
      <w:r w:rsidRPr="00A00CB5">
        <w:rPr>
          <w:rFonts w:ascii="MS Reference Sans Serif" w:hAnsi="MS Reference Sans Serif"/>
          <w:b/>
          <w:bCs/>
          <w:sz w:val="22"/>
        </w:rPr>
        <w:lastRenderedPageBreak/>
        <w:t>Conflicts of Interest</w:t>
      </w:r>
    </w:p>
    <w:p w14:paraId="50288BD7" w14:textId="3E898A34" w:rsidR="00A00CB5" w:rsidRDefault="00A00CB5" w:rsidP="00A00CB5">
      <w:pPr>
        <w:pStyle w:val="ListParagraph"/>
        <w:ind w:left="0"/>
        <w:rPr>
          <w:rFonts w:ascii="MS Reference Sans Serif" w:hAnsi="MS Reference Sans Serif"/>
          <w:sz w:val="22"/>
        </w:rPr>
      </w:pPr>
    </w:p>
    <w:p w14:paraId="3D87B13A" w14:textId="3215455D" w:rsidR="00A00CB5" w:rsidRPr="00E33192" w:rsidRDefault="00A00CB5" w:rsidP="00A00CB5">
      <w:pPr>
        <w:pStyle w:val="ListParagraph"/>
        <w:ind w:left="0"/>
        <w:jc w:val="left"/>
        <w:rPr>
          <w:rFonts w:ascii="MS Reference Sans Serif" w:hAnsi="MS Reference Sans Serif"/>
          <w:sz w:val="22"/>
        </w:rPr>
      </w:pPr>
      <w:r>
        <w:rPr>
          <w:rFonts w:ascii="MS Reference Sans Serif" w:hAnsi="MS Reference Sans Serif"/>
          <w:sz w:val="22"/>
        </w:rPr>
        <w:t>The authors</w:t>
      </w:r>
      <w:r w:rsidR="0084445B">
        <w:rPr>
          <w:rFonts w:ascii="MS Reference Sans Serif" w:hAnsi="MS Reference Sans Serif"/>
          <w:sz w:val="22"/>
        </w:rPr>
        <w:t xml:space="preserve"> </w:t>
      </w:r>
      <w:r>
        <w:rPr>
          <w:rFonts w:ascii="MS Reference Sans Serif" w:hAnsi="MS Reference Sans Serif"/>
          <w:sz w:val="22"/>
        </w:rPr>
        <w:t>declare that there are no conflicts of interest regarding the publication of this article.</w:t>
      </w:r>
    </w:p>
    <w:p w14:paraId="53BB5D64" w14:textId="77777777" w:rsidR="002D193C" w:rsidRPr="00E33192" w:rsidRDefault="002D193C" w:rsidP="002D193C">
      <w:pPr>
        <w:pStyle w:val="ListParagraph"/>
        <w:ind w:left="0"/>
        <w:jc w:val="left"/>
        <w:rPr>
          <w:rFonts w:ascii="MS Reference Sans Serif" w:hAnsi="MS Reference Sans Serif"/>
          <w:sz w:val="22"/>
        </w:rPr>
      </w:pPr>
    </w:p>
    <w:p w14:paraId="0E0ECB5A" w14:textId="1EA44114" w:rsidR="002D193C" w:rsidRPr="00F57DF8" w:rsidRDefault="002D193C" w:rsidP="00F57DF8">
      <w:pPr>
        <w:contextualSpacing/>
        <w:rPr>
          <w:rFonts w:ascii="MS Reference Sans Serif" w:hAnsi="MS Reference Sans Serif"/>
          <w:b/>
          <w:bCs/>
          <w:sz w:val="22"/>
        </w:rPr>
      </w:pPr>
      <w:r w:rsidRPr="00F57DF8">
        <w:rPr>
          <w:rFonts w:ascii="MS Reference Sans Serif" w:hAnsi="MS Reference Sans Serif"/>
          <w:b/>
          <w:bCs/>
          <w:sz w:val="22"/>
          <w:szCs w:val="22"/>
        </w:rPr>
        <w:t>References</w:t>
      </w:r>
    </w:p>
    <w:p w14:paraId="689BEA60" w14:textId="77777777" w:rsidR="002D193C" w:rsidRPr="00241F54" w:rsidRDefault="002D193C" w:rsidP="002D193C">
      <w:pPr>
        <w:jc w:val="left"/>
      </w:pPr>
    </w:p>
    <w:p w14:paraId="407B44EF"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Allen, I. E., &amp; Seaman, J. (2013). Changing course: Ten years of tracking online education in the United States [PDF file]. Retrieved from </w:t>
      </w:r>
      <w:hyperlink r:id="rId8" w:history="1">
        <w:r w:rsidRPr="00E33192">
          <w:rPr>
            <w:rStyle w:val="Hyperlink"/>
            <w:rFonts w:ascii="MS Reference Sans Serif" w:hAnsi="MS Reference Sans Serif"/>
            <w:sz w:val="22"/>
          </w:rPr>
          <w:t>https://files.eric.ed.gov/fulltext/ED541571.pdf</w:t>
        </w:r>
      </w:hyperlink>
    </w:p>
    <w:p w14:paraId="5410596B" w14:textId="77777777" w:rsidR="002D193C" w:rsidRPr="00E33192" w:rsidRDefault="002D193C" w:rsidP="002D193C">
      <w:pPr>
        <w:ind w:left="720" w:hanging="720"/>
        <w:contextualSpacing/>
        <w:jc w:val="left"/>
        <w:rPr>
          <w:rFonts w:ascii="MS Reference Sans Serif" w:hAnsi="MS Reference Sans Serif"/>
          <w:sz w:val="22"/>
        </w:rPr>
      </w:pPr>
    </w:p>
    <w:p w14:paraId="12433A7C"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Amanti, C., Gonzalez, N., &amp; Moll, L. C. (2005). </w:t>
      </w:r>
      <w:r w:rsidRPr="00E33192">
        <w:rPr>
          <w:rFonts w:ascii="MS Reference Sans Serif" w:hAnsi="MS Reference Sans Serif"/>
          <w:i/>
          <w:sz w:val="22"/>
        </w:rPr>
        <w:t xml:space="preserve">Funds of knowledge: Theorizing practices in households, communities, and classrooms. </w:t>
      </w:r>
      <w:r w:rsidRPr="00E33192">
        <w:rPr>
          <w:rFonts w:ascii="MS Reference Sans Serif" w:hAnsi="MS Reference Sans Serif"/>
          <w:sz w:val="22"/>
        </w:rPr>
        <w:t>Routledge.</w:t>
      </w:r>
    </w:p>
    <w:p w14:paraId="38276E01" w14:textId="77777777" w:rsidR="002D193C" w:rsidRPr="00E33192" w:rsidRDefault="002D193C" w:rsidP="002D193C">
      <w:pPr>
        <w:ind w:left="720" w:hanging="720"/>
        <w:contextualSpacing/>
        <w:jc w:val="left"/>
        <w:rPr>
          <w:rFonts w:ascii="MS Reference Sans Serif" w:hAnsi="MS Reference Sans Serif"/>
          <w:sz w:val="22"/>
        </w:rPr>
      </w:pPr>
    </w:p>
    <w:p w14:paraId="5BB3F6BA"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American Community Survey (2018). Poverty status in the past 12 months, Table S1701. 2018 American community survey 1-year estimates. Retrieved from </w:t>
      </w:r>
      <w:hyperlink r:id="rId9" w:history="1">
        <w:r w:rsidRPr="00E33192">
          <w:rPr>
            <w:rStyle w:val="Hyperlink"/>
            <w:rFonts w:ascii="MS Reference Sans Serif" w:hAnsi="MS Reference Sans Serif"/>
            <w:sz w:val="22"/>
          </w:rPr>
          <w:t>https://www.census.gov/programs-surveys/acs</w:t>
        </w:r>
      </w:hyperlink>
    </w:p>
    <w:p w14:paraId="220D19A9" w14:textId="77777777" w:rsidR="002D193C" w:rsidRPr="00E33192" w:rsidRDefault="002D193C" w:rsidP="002D193C">
      <w:pPr>
        <w:ind w:left="720" w:hanging="720"/>
        <w:contextualSpacing/>
        <w:jc w:val="left"/>
        <w:rPr>
          <w:rFonts w:ascii="MS Reference Sans Serif" w:hAnsi="MS Reference Sans Serif"/>
          <w:sz w:val="22"/>
        </w:rPr>
      </w:pPr>
    </w:p>
    <w:p w14:paraId="55351ECF" w14:textId="7E4F5C81"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Bunch, G. G. (2013). Pedagogical language knowledge: Preparing mainstream teachers for English learners in the new standards era. </w:t>
      </w:r>
      <w:r w:rsidRPr="00E33192">
        <w:rPr>
          <w:rFonts w:ascii="MS Reference Sans Serif" w:hAnsi="MS Reference Sans Serif"/>
          <w:i/>
          <w:sz w:val="22"/>
        </w:rPr>
        <w:t>Review of Research in Education</w:t>
      </w:r>
      <w:r w:rsidRPr="00214076">
        <w:rPr>
          <w:rFonts w:ascii="MS Reference Sans Serif" w:hAnsi="MS Reference Sans Serif"/>
          <w:iCs/>
          <w:sz w:val="22"/>
        </w:rPr>
        <w:t>,</w:t>
      </w:r>
      <w:r w:rsidRPr="00E33192">
        <w:rPr>
          <w:rFonts w:ascii="MS Reference Sans Serif" w:hAnsi="MS Reference Sans Serif"/>
          <w:i/>
          <w:sz w:val="22"/>
        </w:rPr>
        <w:t xml:space="preserve"> 37</w:t>
      </w:r>
      <w:r w:rsidRPr="00E33192">
        <w:rPr>
          <w:rFonts w:ascii="MS Reference Sans Serif" w:hAnsi="MS Reference Sans Serif"/>
          <w:sz w:val="22"/>
        </w:rPr>
        <w:t>(1), 298</w:t>
      </w:r>
      <w:r w:rsidR="00150194">
        <w:rPr>
          <w:rFonts w:ascii="MS Reference Sans Serif" w:hAnsi="MS Reference Sans Serif"/>
          <w:sz w:val="22"/>
        </w:rPr>
        <w:t>–</w:t>
      </w:r>
      <w:r w:rsidRPr="00E33192">
        <w:rPr>
          <w:rFonts w:ascii="MS Reference Sans Serif" w:hAnsi="MS Reference Sans Serif"/>
          <w:sz w:val="22"/>
        </w:rPr>
        <w:t xml:space="preserve">341. </w:t>
      </w:r>
      <w:hyperlink r:id="rId10" w:history="1">
        <w:r w:rsidRPr="00E33192">
          <w:rPr>
            <w:rStyle w:val="Hyperlink"/>
            <w:rFonts w:ascii="MS Reference Sans Serif" w:hAnsi="MS Reference Sans Serif"/>
            <w:sz w:val="22"/>
          </w:rPr>
          <w:t>https://doi.org/10.3102/0091732X12461772</w:t>
        </w:r>
      </w:hyperlink>
    </w:p>
    <w:p w14:paraId="71EBC75C" w14:textId="77777777" w:rsidR="002D193C" w:rsidRPr="00E33192" w:rsidRDefault="002D193C" w:rsidP="002D193C">
      <w:pPr>
        <w:ind w:left="720" w:hanging="720"/>
        <w:contextualSpacing/>
        <w:jc w:val="left"/>
        <w:rPr>
          <w:rFonts w:ascii="MS Reference Sans Serif" w:hAnsi="MS Reference Sans Serif"/>
          <w:sz w:val="22"/>
        </w:rPr>
      </w:pPr>
    </w:p>
    <w:p w14:paraId="7D4BFE4B" w14:textId="285A09ED"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Coady, M. R., Harper, C., &amp; de Jong, E. (2016). Aiming for equity: Preparing mainstream teachers for inclusion or inclusive classrooms? </w:t>
      </w:r>
      <w:r w:rsidRPr="00E33192">
        <w:rPr>
          <w:rFonts w:ascii="MS Reference Sans Serif" w:hAnsi="MS Reference Sans Serif"/>
          <w:i/>
          <w:sz w:val="22"/>
        </w:rPr>
        <w:t>TESOL Quarterly, 50</w:t>
      </w:r>
      <w:r w:rsidRPr="00E33192">
        <w:rPr>
          <w:rFonts w:ascii="MS Reference Sans Serif" w:hAnsi="MS Reference Sans Serif"/>
          <w:sz w:val="22"/>
        </w:rPr>
        <w:t>(2), 340</w:t>
      </w:r>
      <w:r w:rsidR="00150194">
        <w:rPr>
          <w:rFonts w:ascii="MS Reference Sans Serif" w:hAnsi="MS Reference Sans Serif"/>
          <w:sz w:val="22"/>
        </w:rPr>
        <w:t>–</w:t>
      </w:r>
      <w:r w:rsidRPr="00E33192">
        <w:rPr>
          <w:rFonts w:ascii="MS Reference Sans Serif" w:hAnsi="MS Reference Sans Serif"/>
          <w:sz w:val="22"/>
        </w:rPr>
        <w:t xml:space="preserve">368. </w:t>
      </w:r>
      <w:hyperlink r:id="rId11" w:history="1">
        <w:r w:rsidRPr="00E33192">
          <w:rPr>
            <w:rStyle w:val="Hyperlink"/>
            <w:rFonts w:ascii="MS Reference Sans Serif" w:hAnsi="MS Reference Sans Serif"/>
            <w:sz w:val="22"/>
          </w:rPr>
          <w:t>https://doi.org/10.1002/tesq.223</w:t>
        </w:r>
      </w:hyperlink>
    </w:p>
    <w:p w14:paraId="67677669" w14:textId="77777777" w:rsidR="002D193C" w:rsidRPr="00E33192" w:rsidRDefault="002D193C" w:rsidP="002D193C">
      <w:pPr>
        <w:ind w:left="720" w:hanging="720"/>
        <w:contextualSpacing/>
        <w:jc w:val="left"/>
        <w:rPr>
          <w:rFonts w:ascii="MS Reference Sans Serif" w:hAnsi="MS Reference Sans Serif"/>
          <w:sz w:val="22"/>
        </w:rPr>
      </w:pPr>
    </w:p>
    <w:p w14:paraId="07367B08"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Cohen, S. S. (1988). </w:t>
      </w:r>
      <w:r w:rsidRPr="00E33192">
        <w:rPr>
          <w:rFonts w:ascii="MS Reference Sans Serif" w:hAnsi="MS Reference Sans Serif"/>
          <w:i/>
          <w:sz w:val="22"/>
        </w:rPr>
        <w:t>Practical statistics.</w:t>
      </w:r>
      <w:r w:rsidRPr="00E33192">
        <w:rPr>
          <w:rFonts w:ascii="MS Reference Sans Serif" w:hAnsi="MS Reference Sans Serif"/>
          <w:sz w:val="22"/>
        </w:rPr>
        <w:t xml:space="preserve"> Edward Arnold.</w:t>
      </w:r>
    </w:p>
    <w:p w14:paraId="501A9010" w14:textId="77777777" w:rsidR="002D193C" w:rsidRPr="00E33192" w:rsidRDefault="002D193C" w:rsidP="002D193C">
      <w:pPr>
        <w:ind w:left="720" w:hanging="720"/>
        <w:contextualSpacing/>
        <w:jc w:val="left"/>
        <w:rPr>
          <w:rFonts w:ascii="MS Reference Sans Serif" w:hAnsi="MS Reference Sans Serif"/>
          <w:sz w:val="22"/>
        </w:rPr>
      </w:pPr>
    </w:p>
    <w:p w14:paraId="26158B75"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Cornett, J., &amp; Knight, J. (2009</w:t>
      </w:r>
      <w:r>
        <w:rPr>
          <w:rFonts w:ascii="MS Reference Sans Serif" w:hAnsi="MS Reference Sans Serif"/>
          <w:sz w:val="22"/>
        </w:rPr>
        <w:t>, April</w:t>
      </w:r>
      <w:r w:rsidRPr="00E33192">
        <w:rPr>
          <w:rFonts w:ascii="MS Reference Sans Serif" w:hAnsi="MS Reference Sans Serif"/>
          <w:sz w:val="22"/>
        </w:rPr>
        <w:t>). Studying the impact of instructional coaching. P</w:t>
      </w:r>
      <w:r>
        <w:rPr>
          <w:rFonts w:ascii="MS Reference Sans Serif" w:hAnsi="MS Reference Sans Serif"/>
          <w:sz w:val="22"/>
        </w:rPr>
        <w:t>aper p</w:t>
      </w:r>
      <w:r w:rsidRPr="00E33192">
        <w:rPr>
          <w:rFonts w:ascii="MS Reference Sans Serif" w:hAnsi="MS Reference Sans Serif"/>
          <w:sz w:val="22"/>
        </w:rPr>
        <w:t>resent</w:t>
      </w:r>
      <w:r>
        <w:rPr>
          <w:rFonts w:ascii="MS Reference Sans Serif" w:hAnsi="MS Reference Sans Serif"/>
          <w:sz w:val="22"/>
        </w:rPr>
        <w:t>ed</w:t>
      </w:r>
      <w:r w:rsidRPr="00E33192">
        <w:rPr>
          <w:rFonts w:ascii="MS Reference Sans Serif" w:hAnsi="MS Reference Sans Serif"/>
          <w:sz w:val="22"/>
        </w:rPr>
        <w:t xml:space="preserve"> at the annual meeting of the American Educational Research Association, San Diego, C</w:t>
      </w:r>
      <w:r>
        <w:rPr>
          <w:rFonts w:ascii="MS Reference Sans Serif" w:hAnsi="MS Reference Sans Serif"/>
          <w:sz w:val="22"/>
        </w:rPr>
        <w:t xml:space="preserve">A. </w:t>
      </w:r>
      <w:hyperlink r:id="rId12" w:history="1">
        <w:r w:rsidRPr="00E33192">
          <w:rPr>
            <w:rStyle w:val="Hyperlink"/>
            <w:rFonts w:ascii="MS Reference Sans Serif" w:hAnsi="MS Reference Sans Serif"/>
            <w:sz w:val="22"/>
          </w:rPr>
          <w:t>https://www.instructionalcoaching.com/research/</w:t>
        </w:r>
      </w:hyperlink>
    </w:p>
    <w:p w14:paraId="2393D296" w14:textId="77777777" w:rsidR="002D193C" w:rsidRDefault="002D193C" w:rsidP="002D193C">
      <w:pPr>
        <w:ind w:left="720" w:hanging="720"/>
        <w:contextualSpacing/>
        <w:jc w:val="left"/>
        <w:rPr>
          <w:rFonts w:ascii="MS Reference Sans Serif" w:hAnsi="MS Reference Sans Serif"/>
          <w:sz w:val="22"/>
        </w:rPr>
      </w:pPr>
    </w:p>
    <w:p w14:paraId="7902781D" w14:textId="08959E99"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Crawford, E. R. (2013). Bridging the English learner achievement gap: Essential lessons for school leaders. </w:t>
      </w:r>
      <w:r w:rsidRPr="00E33192">
        <w:rPr>
          <w:rFonts w:ascii="MS Reference Sans Serif" w:hAnsi="MS Reference Sans Serif"/>
          <w:i/>
          <w:sz w:val="22"/>
        </w:rPr>
        <w:t>Journal of Educational Administration</w:t>
      </w:r>
      <w:r w:rsidRPr="00844FF4">
        <w:rPr>
          <w:rFonts w:ascii="MS Reference Sans Serif" w:hAnsi="MS Reference Sans Serif"/>
          <w:iCs/>
          <w:sz w:val="22"/>
        </w:rPr>
        <w:t>,</w:t>
      </w:r>
      <w:r w:rsidRPr="00E33192">
        <w:rPr>
          <w:rFonts w:ascii="MS Reference Sans Serif" w:hAnsi="MS Reference Sans Serif"/>
          <w:i/>
          <w:sz w:val="22"/>
        </w:rPr>
        <w:t xml:space="preserve"> 51</w:t>
      </w:r>
      <w:r w:rsidRPr="00E33192">
        <w:rPr>
          <w:rFonts w:ascii="MS Reference Sans Serif" w:hAnsi="MS Reference Sans Serif"/>
          <w:sz w:val="22"/>
        </w:rPr>
        <w:t>(6), 871</w:t>
      </w:r>
      <w:r w:rsidR="00FD2116">
        <w:rPr>
          <w:rFonts w:ascii="MS Reference Sans Serif" w:hAnsi="MS Reference Sans Serif"/>
          <w:sz w:val="22"/>
        </w:rPr>
        <w:t>–</w:t>
      </w:r>
      <w:r w:rsidRPr="00E33192">
        <w:rPr>
          <w:rFonts w:ascii="MS Reference Sans Serif" w:hAnsi="MS Reference Sans Serif"/>
          <w:sz w:val="22"/>
        </w:rPr>
        <w:t xml:space="preserve">874. </w:t>
      </w:r>
      <w:hyperlink r:id="rId13" w:history="1">
        <w:r w:rsidRPr="00E33192">
          <w:rPr>
            <w:rStyle w:val="Hyperlink"/>
            <w:rFonts w:ascii="MS Reference Sans Serif" w:hAnsi="MS Reference Sans Serif"/>
            <w:sz w:val="22"/>
          </w:rPr>
          <w:t>https://doi.org/10.1108/JEA-02-2013-0026</w:t>
        </w:r>
      </w:hyperlink>
    </w:p>
    <w:p w14:paraId="6EC6F681" w14:textId="77777777" w:rsidR="002D193C" w:rsidRPr="00E33192" w:rsidRDefault="002D193C" w:rsidP="002D193C">
      <w:pPr>
        <w:ind w:left="720" w:hanging="720"/>
        <w:contextualSpacing/>
        <w:jc w:val="left"/>
        <w:rPr>
          <w:rFonts w:ascii="MS Reference Sans Serif" w:hAnsi="MS Reference Sans Serif"/>
          <w:i/>
          <w:sz w:val="22"/>
        </w:rPr>
      </w:pPr>
    </w:p>
    <w:p w14:paraId="61EBAA5F" w14:textId="05C75B4E"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Cullen, R., Kullman, J., &amp; Wild, C. (2013). Online collaborative learning on an ESL teacher education </w:t>
      </w:r>
      <w:proofErr w:type="spellStart"/>
      <w:r w:rsidRPr="00E33192">
        <w:rPr>
          <w:rFonts w:ascii="MS Reference Sans Serif" w:hAnsi="MS Reference Sans Serif"/>
          <w:sz w:val="22"/>
        </w:rPr>
        <w:t>programme</w:t>
      </w:r>
      <w:proofErr w:type="spellEnd"/>
      <w:r w:rsidRPr="00E33192">
        <w:rPr>
          <w:rFonts w:ascii="MS Reference Sans Serif" w:hAnsi="MS Reference Sans Serif"/>
          <w:sz w:val="22"/>
        </w:rPr>
        <w:t xml:space="preserve">. </w:t>
      </w:r>
      <w:r w:rsidRPr="00E33192">
        <w:rPr>
          <w:rFonts w:ascii="MS Reference Sans Serif" w:hAnsi="MS Reference Sans Serif"/>
          <w:i/>
          <w:sz w:val="22"/>
        </w:rPr>
        <w:t>ELT Journal</w:t>
      </w:r>
      <w:r w:rsidRPr="004A6978">
        <w:rPr>
          <w:rFonts w:ascii="MS Reference Sans Serif" w:hAnsi="MS Reference Sans Serif"/>
          <w:iCs/>
          <w:sz w:val="22"/>
        </w:rPr>
        <w:t>,</w:t>
      </w:r>
      <w:r w:rsidRPr="00E33192">
        <w:rPr>
          <w:rFonts w:ascii="MS Reference Sans Serif" w:hAnsi="MS Reference Sans Serif"/>
          <w:i/>
          <w:sz w:val="22"/>
        </w:rPr>
        <w:t xml:space="preserve"> 67</w:t>
      </w:r>
      <w:r w:rsidRPr="00E33192">
        <w:rPr>
          <w:rFonts w:ascii="MS Reference Sans Serif" w:hAnsi="MS Reference Sans Serif"/>
          <w:sz w:val="22"/>
        </w:rPr>
        <w:t>(4), 425</w:t>
      </w:r>
      <w:r w:rsidR="00150194">
        <w:rPr>
          <w:rFonts w:ascii="MS Reference Sans Serif" w:hAnsi="MS Reference Sans Serif"/>
          <w:sz w:val="22"/>
        </w:rPr>
        <w:t>–</w:t>
      </w:r>
      <w:r w:rsidRPr="00E33192">
        <w:rPr>
          <w:rFonts w:ascii="MS Reference Sans Serif" w:hAnsi="MS Reference Sans Serif"/>
          <w:sz w:val="22"/>
        </w:rPr>
        <w:t>434.</w:t>
      </w:r>
      <w:r w:rsidR="00316D42">
        <w:rPr>
          <w:rFonts w:ascii="MS Reference Sans Serif" w:hAnsi="MS Reference Sans Serif"/>
          <w:sz w:val="22"/>
        </w:rPr>
        <w:t xml:space="preserve"> </w:t>
      </w:r>
      <w:hyperlink r:id="rId14" w:history="1">
        <w:r w:rsidRPr="00E33192">
          <w:rPr>
            <w:rStyle w:val="Hyperlink"/>
            <w:rFonts w:ascii="MS Reference Sans Serif" w:hAnsi="MS Reference Sans Serif"/>
            <w:sz w:val="22"/>
          </w:rPr>
          <w:t>https://doi.org/10.1093/elt/cct032</w:t>
        </w:r>
      </w:hyperlink>
    </w:p>
    <w:p w14:paraId="28F3F3ED" w14:textId="77777777" w:rsidR="002D193C" w:rsidRPr="00E33192" w:rsidRDefault="002D193C" w:rsidP="002D193C">
      <w:pPr>
        <w:ind w:left="720" w:hanging="720"/>
        <w:contextualSpacing/>
        <w:jc w:val="left"/>
        <w:rPr>
          <w:rFonts w:ascii="MS Reference Sans Serif" w:hAnsi="MS Reference Sans Serif"/>
          <w:sz w:val="22"/>
        </w:rPr>
      </w:pPr>
    </w:p>
    <w:p w14:paraId="31E196C7" w14:textId="301BB3F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Daniel, S. M., &amp; Pray, L. (2017). Learning to teach English language learners: A study of elementary school teachers’ sense-making in an ELL endorsement program. </w:t>
      </w:r>
      <w:r w:rsidRPr="00E33192">
        <w:rPr>
          <w:rFonts w:ascii="MS Reference Sans Serif" w:hAnsi="MS Reference Sans Serif"/>
          <w:i/>
          <w:sz w:val="22"/>
        </w:rPr>
        <w:t>TESOL</w:t>
      </w:r>
      <w:r w:rsidRPr="00E33192">
        <w:rPr>
          <w:rFonts w:ascii="MS Reference Sans Serif" w:hAnsi="MS Reference Sans Serif"/>
          <w:sz w:val="22"/>
        </w:rPr>
        <w:t xml:space="preserve"> </w:t>
      </w:r>
      <w:r w:rsidRPr="00E33192">
        <w:rPr>
          <w:rFonts w:ascii="MS Reference Sans Serif" w:hAnsi="MS Reference Sans Serif"/>
          <w:i/>
          <w:sz w:val="22"/>
        </w:rPr>
        <w:t>Quarterly</w:t>
      </w:r>
      <w:r w:rsidR="00B950ED">
        <w:rPr>
          <w:rFonts w:ascii="MS Reference Sans Serif" w:hAnsi="MS Reference Sans Serif"/>
          <w:iCs/>
          <w:sz w:val="22"/>
        </w:rPr>
        <w:t>,</w:t>
      </w:r>
      <w:r w:rsidRPr="00E33192">
        <w:rPr>
          <w:rFonts w:ascii="MS Reference Sans Serif" w:hAnsi="MS Reference Sans Serif"/>
          <w:i/>
          <w:sz w:val="22"/>
        </w:rPr>
        <w:t xml:space="preserve"> 51</w:t>
      </w:r>
      <w:r w:rsidRPr="00E33192">
        <w:rPr>
          <w:rFonts w:ascii="MS Reference Sans Serif" w:hAnsi="MS Reference Sans Serif"/>
          <w:sz w:val="22"/>
        </w:rPr>
        <w:t>(4), 787</w:t>
      </w:r>
      <w:r w:rsidR="00150194">
        <w:rPr>
          <w:rFonts w:ascii="MS Reference Sans Serif" w:hAnsi="MS Reference Sans Serif"/>
          <w:sz w:val="22"/>
        </w:rPr>
        <w:t>–</w:t>
      </w:r>
      <w:r w:rsidRPr="00E33192">
        <w:rPr>
          <w:rFonts w:ascii="MS Reference Sans Serif" w:hAnsi="MS Reference Sans Serif"/>
          <w:sz w:val="22"/>
        </w:rPr>
        <w:t xml:space="preserve">819. </w:t>
      </w:r>
      <w:hyperlink r:id="rId15" w:history="1">
        <w:r w:rsidRPr="00E33192">
          <w:rPr>
            <w:rStyle w:val="Hyperlink"/>
            <w:rFonts w:ascii="MS Reference Sans Serif" w:hAnsi="MS Reference Sans Serif"/>
            <w:sz w:val="22"/>
          </w:rPr>
          <w:t>https://doi.org/10.1002/tesq.347</w:t>
        </w:r>
      </w:hyperlink>
    </w:p>
    <w:p w14:paraId="3662154E" w14:textId="77777777" w:rsidR="002D193C" w:rsidRPr="00E33192" w:rsidRDefault="002D193C" w:rsidP="002D193C">
      <w:pPr>
        <w:ind w:left="720" w:hanging="720"/>
        <w:contextualSpacing/>
        <w:jc w:val="left"/>
        <w:rPr>
          <w:rFonts w:ascii="MS Reference Sans Serif" w:hAnsi="MS Reference Sans Serif"/>
          <w:sz w:val="22"/>
        </w:rPr>
      </w:pPr>
    </w:p>
    <w:p w14:paraId="6BD80FF9"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Darling-Hammond, L., Hyler, M. E., </w:t>
      </w:r>
      <w:r>
        <w:rPr>
          <w:rFonts w:ascii="MS Reference Sans Serif" w:hAnsi="MS Reference Sans Serif"/>
          <w:sz w:val="22"/>
        </w:rPr>
        <w:t xml:space="preserve">&amp; </w:t>
      </w:r>
      <w:r w:rsidRPr="00E33192">
        <w:rPr>
          <w:rFonts w:ascii="MS Reference Sans Serif" w:hAnsi="MS Reference Sans Serif"/>
          <w:sz w:val="22"/>
        </w:rPr>
        <w:t xml:space="preserve">Gardner, M. (2017). </w:t>
      </w:r>
      <w:r w:rsidRPr="00E33192">
        <w:rPr>
          <w:rFonts w:ascii="MS Reference Sans Serif" w:hAnsi="MS Reference Sans Serif"/>
          <w:i/>
          <w:sz w:val="22"/>
        </w:rPr>
        <w:t xml:space="preserve">Effective Teacher Professional Development. </w:t>
      </w:r>
      <w:r w:rsidRPr="00E33192">
        <w:rPr>
          <w:rFonts w:ascii="MS Reference Sans Serif" w:hAnsi="MS Reference Sans Serif"/>
          <w:sz w:val="22"/>
        </w:rPr>
        <w:t>Learning Policy Institute.</w:t>
      </w:r>
    </w:p>
    <w:p w14:paraId="5AE9BDF7" w14:textId="77777777" w:rsidR="002D193C" w:rsidRPr="00E33192" w:rsidRDefault="002D193C" w:rsidP="002D193C">
      <w:pPr>
        <w:ind w:left="720" w:hanging="720"/>
        <w:contextualSpacing/>
        <w:jc w:val="left"/>
        <w:rPr>
          <w:rFonts w:ascii="MS Reference Sans Serif" w:hAnsi="MS Reference Sans Serif"/>
          <w:sz w:val="22"/>
        </w:rPr>
      </w:pPr>
    </w:p>
    <w:p w14:paraId="542985F8"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Fenner, D. S., &amp; Snyder, S. (2017). </w:t>
      </w:r>
      <w:r w:rsidRPr="00E33192">
        <w:rPr>
          <w:rFonts w:ascii="MS Reference Sans Serif" w:hAnsi="MS Reference Sans Serif"/>
          <w:i/>
          <w:sz w:val="22"/>
        </w:rPr>
        <w:t>Unlocking English learners’ potential: Strategies for making content accessible.</w:t>
      </w:r>
      <w:r w:rsidRPr="00E33192">
        <w:rPr>
          <w:rFonts w:ascii="MS Reference Sans Serif" w:hAnsi="MS Reference Sans Serif"/>
          <w:sz w:val="22"/>
        </w:rPr>
        <w:t xml:space="preserve"> Corwin</w:t>
      </w:r>
      <w:r>
        <w:rPr>
          <w:rFonts w:ascii="MS Reference Sans Serif" w:hAnsi="MS Reference Sans Serif"/>
          <w:sz w:val="22"/>
        </w:rPr>
        <w:t>.</w:t>
      </w:r>
    </w:p>
    <w:p w14:paraId="580561BF" w14:textId="77777777" w:rsidR="002D193C" w:rsidRPr="00E33192" w:rsidRDefault="002D193C" w:rsidP="002D193C">
      <w:pPr>
        <w:ind w:left="720" w:hanging="720"/>
        <w:contextualSpacing/>
        <w:jc w:val="left"/>
        <w:rPr>
          <w:rFonts w:ascii="MS Reference Sans Serif" w:hAnsi="MS Reference Sans Serif"/>
          <w:sz w:val="22"/>
        </w:rPr>
      </w:pPr>
    </w:p>
    <w:p w14:paraId="6183B061"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Freeman, D. E., &amp; Freeman, Y. S. (2014). </w:t>
      </w:r>
      <w:r w:rsidRPr="00E33192">
        <w:rPr>
          <w:rFonts w:ascii="MS Reference Sans Serif" w:hAnsi="MS Reference Sans Serif"/>
          <w:i/>
          <w:sz w:val="22"/>
        </w:rPr>
        <w:t xml:space="preserve">Essential linguistics: What teachers need to know to teach ESL, reading, spelling, grammar </w:t>
      </w:r>
      <w:r w:rsidRPr="00E33192">
        <w:rPr>
          <w:rFonts w:ascii="MS Reference Sans Serif" w:hAnsi="MS Reference Sans Serif"/>
          <w:sz w:val="22"/>
        </w:rPr>
        <w:t xml:space="preserve">(2nd ed.). Heinemann. </w:t>
      </w:r>
    </w:p>
    <w:p w14:paraId="14126AD5" w14:textId="77777777" w:rsidR="002D193C" w:rsidRPr="00E33192" w:rsidRDefault="002D193C" w:rsidP="002D193C">
      <w:pPr>
        <w:ind w:left="720" w:hanging="720"/>
        <w:contextualSpacing/>
        <w:jc w:val="left"/>
        <w:rPr>
          <w:rFonts w:ascii="MS Reference Sans Serif" w:hAnsi="MS Reference Sans Serif"/>
          <w:sz w:val="22"/>
        </w:rPr>
      </w:pPr>
    </w:p>
    <w:p w14:paraId="21992EF1"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García, O., &amp; Kleifgen, J. A. (2010). </w:t>
      </w:r>
      <w:r w:rsidRPr="00E33192">
        <w:rPr>
          <w:rFonts w:ascii="MS Reference Sans Serif" w:hAnsi="MS Reference Sans Serif"/>
          <w:i/>
          <w:sz w:val="22"/>
        </w:rPr>
        <w:t>Educating emergent bilinguals: Policies, programs, and practices for English language learners</w:t>
      </w:r>
      <w:r w:rsidRPr="00E33192">
        <w:rPr>
          <w:rFonts w:ascii="MS Reference Sans Serif" w:hAnsi="MS Reference Sans Serif"/>
          <w:sz w:val="22"/>
        </w:rPr>
        <w:t>. Teachers College Press.</w:t>
      </w:r>
    </w:p>
    <w:p w14:paraId="0CAAAAEC" w14:textId="77777777" w:rsidR="002D193C" w:rsidRPr="00E33192" w:rsidRDefault="002D193C" w:rsidP="002D193C">
      <w:pPr>
        <w:ind w:left="720" w:hanging="720"/>
        <w:contextualSpacing/>
        <w:jc w:val="left"/>
        <w:rPr>
          <w:rFonts w:ascii="MS Reference Sans Serif" w:hAnsi="MS Reference Sans Serif"/>
          <w:sz w:val="22"/>
        </w:rPr>
      </w:pPr>
    </w:p>
    <w:p w14:paraId="0A6BCB45" w14:textId="28DAA7E0"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Gay, G. (2002). Preparing for culturally responsive teaching. </w:t>
      </w:r>
      <w:r w:rsidRPr="00E33192">
        <w:rPr>
          <w:rFonts w:ascii="MS Reference Sans Serif" w:hAnsi="MS Reference Sans Serif"/>
          <w:i/>
          <w:sz w:val="22"/>
        </w:rPr>
        <w:t>Journal of Teacher Education</w:t>
      </w:r>
      <w:r w:rsidRPr="00B950ED">
        <w:rPr>
          <w:rFonts w:ascii="MS Reference Sans Serif" w:hAnsi="MS Reference Sans Serif"/>
          <w:iCs/>
          <w:sz w:val="22"/>
        </w:rPr>
        <w:t>,</w:t>
      </w:r>
      <w:r w:rsidRPr="00E33192">
        <w:rPr>
          <w:rFonts w:ascii="MS Reference Sans Serif" w:hAnsi="MS Reference Sans Serif"/>
          <w:i/>
          <w:sz w:val="22"/>
        </w:rPr>
        <w:t xml:space="preserve"> 53</w:t>
      </w:r>
      <w:r w:rsidRPr="00E33192">
        <w:rPr>
          <w:rFonts w:ascii="MS Reference Sans Serif" w:hAnsi="MS Reference Sans Serif"/>
          <w:sz w:val="22"/>
        </w:rPr>
        <w:t>(2), 106</w:t>
      </w:r>
      <w:r w:rsidR="00150194">
        <w:rPr>
          <w:rFonts w:ascii="MS Reference Sans Serif" w:hAnsi="MS Reference Sans Serif"/>
          <w:sz w:val="22"/>
        </w:rPr>
        <w:t>–</w:t>
      </w:r>
      <w:r w:rsidRPr="00E33192">
        <w:rPr>
          <w:rFonts w:ascii="MS Reference Sans Serif" w:hAnsi="MS Reference Sans Serif"/>
          <w:sz w:val="22"/>
        </w:rPr>
        <w:t>116.</w:t>
      </w:r>
    </w:p>
    <w:p w14:paraId="6461DDFF" w14:textId="77777777" w:rsidR="002D193C" w:rsidRPr="00E33192" w:rsidRDefault="002D193C" w:rsidP="002D193C">
      <w:pPr>
        <w:ind w:left="720" w:hanging="720"/>
        <w:contextualSpacing/>
        <w:jc w:val="left"/>
        <w:rPr>
          <w:rFonts w:ascii="MS Reference Sans Serif" w:hAnsi="MS Reference Sans Serif"/>
          <w:sz w:val="22"/>
        </w:rPr>
      </w:pPr>
    </w:p>
    <w:p w14:paraId="198E67DD"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Gay, G. (2010). </w:t>
      </w:r>
      <w:r w:rsidRPr="00E33192">
        <w:rPr>
          <w:rFonts w:ascii="MS Reference Sans Serif" w:hAnsi="MS Reference Sans Serif"/>
          <w:i/>
          <w:sz w:val="22"/>
        </w:rPr>
        <w:t xml:space="preserve">Culturally responsive teaching: Theory, research, and practice </w:t>
      </w:r>
      <w:r w:rsidRPr="00E33192">
        <w:rPr>
          <w:rFonts w:ascii="MS Reference Sans Serif" w:hAnsi="MS Reference Sans Serif"/>
          <w:sz w:val="22"/>
        </w:rPr>
        <w:t>(2nd ed.)</w:t>
      </w:r>
      <w:r>
        <w:rPr>
          <w:rFonts w:ascii="MS Reference Sans Serif" w:hAnsi="MS Reference Sans Serif"/>
          <w:sz w:val="22"/>
        </w:rPr>
        <w:t>. T</w:t>
      </w:r>
      <w:r w:rsidRPr="00E33192">
        <w:rPr>
          <w:rFonts w:ascii="MS Reference Sans Serif" w:hAnsi="MS Reference Sans Serif"/>
          <w:sz w:val="22"/>
        </w:rPr>
        <w:t>eachers College Press.</w:t>
      </w:r>
    </w:p>
    <w:p w14:paraId="0733562A" w14:textId="77777777" w:rsidR="002D193C" w:rsidRPr="00E33192" w:rsidRDefault="002D193C" w:rsidP="002D193C">
      <w:pPr>
        <w:ind w:left="720" w:hanging="720"/>
        <w:contextualSpacing/>
        <w:jc w:val="left"/>
        <w:rPr>
          <w:rFonts w:ascii="MS Reference Sans Serif" w:hAnsi="MS Reference Sans Serif"/>
          <w:sz w:val="22"/>
        </w:rPr>
      </w:pPr>
    </w:p>
    <w:p w14:paraId="577D4AAB" w14:textId="7889F0A0"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Gay, G. (2013). Teaching to and through cultural diversity. </w:t>
      </w:r>
      <w:r w:rsidRPr="00E33192">
        <w:rPr>
          <w:rFonts w:ascii="MS Reference Sans Serif" w:hAnsi="MS Reference Sans Serif"/>
          <w:i/>
          <w:sz w:val="22"/>
        </w:rPr>
        <w:t>Curriculum Inquiry</w:t>
      </w:r>
      <w:r w:rsidRPr="00B950ED">
        <w:rPr>
          <w:rFonts w:ascii="MS Reference Sans Serif" w:hAnsi="MS Reference Sans Serif"/>
          <w:iCs/>
          <w:sz w:val="22"/>
        </w:rPr>
        <w:t>,</w:t>
      </w:r>
      <w:r w:rsidRPr="00E33192">
        <w:rPr>
          <w:rFonts w:ascii="MS Reference Sans Serif" w:hAnsi="MS Reference Sans Serif"/>
          <w:i/>
          <w:sz w:val="22"/>
        </w:rPr>
        <w:t xml:space="preserve"> 43</w:t>
      </w:r>
      <w:r w:rsidRPr="00E33192">
        <w:rPr>
          <w:rFonts w:ascii="MS Reference Sans Serif" w:hAnsi="MS Reference Sans Serif"/>
          <w:sz w:val="22"/>
        </w:rPr>
        <w:t>(1), 48</w:t>
      </w:r>
      <w:r w:rsidR="00150194">
        <w:rPr>
          <w:rFonts w:ascii="MS Reference Sans Serif" w:hAnsi="MS Reference Sans Serif"/>
          <w:sz w:val="22"/>
        </w:rPr>
        <w:t>–</w:t>
      </w:r>
      <w:r w:rsidRPr="00E33192">
        <w:rPr>
          <w:rFonts w:ascii="MS Reference Sans Serif" w:hAnsi="MS Reference Sans Serif"/>
          <w:sz w:val="22"/>
        </w:rPr>
        <w:t xml:space="preserve">70. </w:t>
      </w:r>
      <w:hyperlink r:id="rId16" w:history="1">
        <w:r w:rsidRPr="00E33192">
          <w:rPr>
            <w:rStyle w:val="Hyperlink"/>
            <w:rFonts w:ascii="MS Reference Sans Serif" w:hAnsi="MS Reference Sans Serif"/>
            <w:sz w:val="22"/>
          </w:rPr>
          <w:t>https://doi.org/10.1111/curi.12002</w:t>
        </w:r>
      </w:hyperlink>
    </w:p>
    <w:p w14:paraId="7CA671E9" w14:textId="77777777" w:rsidR="002D193C" w:rsidRPr="00E33192" w:rsidRDefault="002D193C" w:rsidP="002D193C">
      <w:pPr>
        <w:ind w:left="720" w:hanging="720"/>
        <w:contextualSpacing/>
        <w:jc w:val="left"/>
        <w:rPr>
          <w:rFonts w:ascii="MS Reference Sans Serif" w:hAnsi="MS Reference Sans Serif"/>
          <w:sz w:val="22"/>
        </w:rPr>
      </w:pPr>
    </w:p>
    <w:p w14:paraId="186CF826" w14:textId="7C056E28"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Gibson, C. (2016). Bridging English language learner achievement gaps through effective vocabulary development strategies.</w:t>
      </w:r>
      <w:r w:rsidRPr="00E33192">
        <w:rPr>
          <w:rFonts w:ascii="MS Reference Sans Serif" w:hAnsi="MS Reference Sans Serif"/>
          <w:i/>
          <w:iCs/>
          <w:sz w:val="22"/>
        </w:rPr>
        <w:t xml:space="preserve"> English Language Teaching</w:t>
      </w:r>
      <w:r w:rsidRPr="00844FF4">
        <w:rPr>
          <w:rFonts w:ascii="MS Reference Sans Serif" w:hAnsi="MS Reference Sans Serif"/>
          <w:sz w:val="22"/>
        </w:rPr>
        <w:t>,</w:t>
      </w:r>
      <w:r w:rsidRPr="00E33192">
        <w:rPr>
          <w:rFonts w:ascii="MS Reference Sans Serif" w:hAnsi="MS Reference Sans Serif"/>
          <w:i/>
          <w:iCs/>
          <w:sz w:val="22"/>
        </w:rPr>
        <w:t xml:space="preserve"> 9</w:t>
      </w:r>
      <w:r w:rsidRPr="00E33192">
        <w:rPr>
          <w:rFonts w:ascii="MS Reference Sans Serif" w:hAnsi="MS Reference Sans Serif"/>
          <w:sz w:val="22"/>
        </w:rPr>
        <w:t>(9), 134</w:t>
      </w:r>
      <w:r w:rsidR="00150194">
        <w:rPr>
          <w:rFonts w:ascii="MS Reference Sans Serif" w:hAnsi="MS Reference Sans Serif"/>
          <w:sz w:val="22"/>
        </w:rPr>
        <w:t>–</w:t>
      </w:r>
      <w:r w:rsidRPr="00E33192">
        <w:rPr>
          <w:rFonts w:ascii="MS Reference Sans Serif" w:hAnsi="MS Reference Sans Serif"/>
          <w:sz w:val="22"/>
        </w:rPr>
        <w:t>138.</w:t>
      </w:r>
    </w:p>
    <w:p w14:paraId="27789110" w14:textId="77777777" w:rsidR="002D193C" w:rsidRPr="00E33192" w:rsidRDefault="002D193C" w:rsidP="002D193C">
      <w:pPr>
        <w:ind w:left="720" w:hanging="720"/>
        <w:contextualSpacing/>
        <w:jc w:val="left"/>
        <w:rPr>
          <w:rFonts w:ascii="MS Reference Sans Serif" w:hAnsi="MS Reference Sans Serif"/>
          <w:iCs/>
          <w:sz w:val="22"/>
        </w:rPr>
      </w:pPr>
    </w:p>
    <w:p w14:paraId="5761E2AF" w14:textId="45CEE93A"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Gribbons, B., &amp; Herman, J. (1997). True and quasi-experimental designs. </w:t>
      </w:r>
      <w:r w:rsidRPr="00E33192">
        <w:rPr>
          <w:rFonts w:ascii="MS Reference Sans Serif" w:hAnsi="MS Reference Sans Serif"/>
          <w:i/>
          <w:sz w:val="22"/>
        </w:rPr>
        <w:t>Practical Assessment, Research</w:t>
      </w:r>
      <w:r w:rsidR="00FB039E">
        <w:rPr>
          <w:rFonts w:ascii="MS Reference Sans Serif" w:hAnsi="MS Reference Sans Serif"/>
          <w:i/>
          <w:sz w:val="22"/>
        </w:rPr>
        <w:t>,</w:t>
      </w:r>
      <w:r w:rsidRPr="00E33192">
        <w:rPr>
          <w:rFonts w:ascii="MS Reference Sans Serif" w:hAnsi="MS Reference Sans Serif"/>
          <w:i/>
          <w:sz w:val="22"/>
        </w:rPr>
        <w:t xml:space="preserve"> &amp; Evaluation</w:t>
      </w:r>
      <w:r w:rsidRPr="00FB039E">
        <w:rPr>
          <w:rFonts w:ascii="MS Reference Sans Serif" w:hAnsi="MS Reference Sans Serif"/>
          <w:iCs/>
          <w:sz w:val="22"/>
        </w:rPr>
        <w:t>,</w:t>
      </w:r>
      <w:r w:rsidRPr="00E33192">
        <w:rPr>
          <w:rFonts w:ascii="MS Reference Sans Serif" w:hAnsi="MS Reference Sans Serif"/>
          <w:i/>
          <w:sz w:val="22"/>
        </w:rPr>
        <w:t xml:space="preserve"> 5</w:t>
      </w:r>
      <w:r w:rsidRPr="00E33192">
        <w:rPr>
          <w:rFonts w:ascii="MS Reference Sans Serif" w:hAnsi="MS Reference Sans Serif"/>
          <w:sz w:val="22"/>
        </w:rPr>
        <w:t xml:space="preserve">(14). </w:t>
      </w:r>
      <w:hyperlink r:id="rId17" w:history="1">
        <w:r w:rsidRPr="00E33192">
          <w:rPr>
            <w:rStyle w:val="Hyperlink"/>
            <w:rFonts w:ascii="MS Reference Sans Serif" w:hAnsi="MS Reference Sans Serif"/>
            <w:sz w:val="22"/>
          </w:rPr>
          <w:t>https://doi.org/10.7275/fs4z-nb61</w:t>
        </w:r>
      </w:hyperlink>
    </w:p>
    <w:p w14:paraId="6142458A" w14:textId="77777777" w:rsidR="002D193C" w:rsidRPr="00E33192" w:rsidRDefault="002D193C" w:rsidP="002D193C">
      <w:pPr>
        <w:ind w:left="720" w:hanging="720"/>
        <w:contextualSpacing/>
        <w:jc w:val="left"/>
        <w:rPr>
          <w:rFonts w:ascii="MS Reference Sans Serif" w:hAnsi="MS Reference Sans Serif"/>
          <w:sz w:val="22"/>
        </w:rPr>
      </w:pPr>
    </w:p>
    <w:p w14:paraId="4672A389" w14:textId="37DABB02"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Hansen-Thomas, H., Richins, L., Kakkar, K., &amp; Okeyo, C. (2016). I do not feel I am properly trained to help them! Rural teachers’ perceptions of challenges and needs with English-language learners. </w:t>
      </w:r>
      <w:r w:rsidRPr="00E33192">
        <w:rPr>
          <w:rFonts w:ascii="MS Reference Sans Serif" w:hAnsi="MS Reference Sans Serif"/>
          <w:i/>
          <w:sz w:val="22"/>
        </w:rPr>
        <w:t>Professional Development in Education</w:t>
      </w:r>
      <w:r w:rsidRPr="00382B96">
        <w:rPr>
          <w:rFonts w:ascii="MS Reference Sans Serif" w:hAnsi="MS Reference Sans Serif"/>
          <w:iCs/>
          <w:sz w:val="22"/>
        </w:rPr>
        <w:t>,</w:t>
      </w:r>
      <w:r w:rsidRPr="00E33192">
        <w:rPr>
          <w:rFonts w:ascii="MS Reference Sans Serif" w:hAnsi="MS Reference Sans Serif"/>
          <w:i/>
          <w:sz w:val="22"/>
        </w:rPr>
        <w:t xml:space="preserve"> 42</w:t>
      </w:r>
      <w:r w:rsidRPr="00E33192">
        <w:rPr>
          <w:rFonts w:ascii="MS Reference Sans Serif" w:hAnsi="MS Reference Sans Serif"/>
          <w:sz w:val="22"/>
        </w:rPr>
        <w:t>(2), 308</w:t>
      </w:r>
      <w:r w:rsidR="00150194">
        <w:rPr>
          <w:rFonts w:ascii="MS Reference Sans Serif" w:hAnsi="MS Reference Sans Serif"/>
          <w:sz w:val="22"/>
        </w:rPr>
        <w:t>–</w:t>
      </w:r>
      <w:r w:rsidRPr="00E33192">
        <w:rPr>
          <w:rFonts w:ascii="MS Reference Sans Serif" w:hAnsi="MS Reference Sans Serif"/>
          <w:sz w:val="22"/>
        </w:rPr>
        <w:t xml:space="preserve">324. </w:t>
      </w:r>
      <w:hyperlink r:id="rId18" w:history="1">
        <w:r w:rsidRPr="00E33192">
          <w:rPr>
            <w:rStyle w:val="Hyperlink"/>
            <w:rFonts w:ascii="MS Reference Sans Serif" w:hAnsi="MS Reference Sans Serif"/>
            <w:sz w:val="22"/>
          </w:rPr>
          <w:t>https://doi.org/10.1080/19415257.2014.973528</w:t>
        </w:r>
      </w:hyperlink>
    </w:p>
    <w:p w14:paraId="36F8A7E5" w14:textId="77777777" w:rsidR="002D193C" w:rsidRPr="00E33192" w:rsidRDefault="002D193C" w:rsidP="002D193C">
      <w:pPr>
        <w:ind w:left="720" w:hanging="720"/>
        <w:contextualSpacing/>
        <w:jc w:val="left"/>
        <w:rPr>
          <w:rFonts w:ascii="MS Reference Sans Serif" w:hAnsi="MS Reference Sans Serif"/>
          <w:sz w:val="22"/>
        </w:rPr>
      </w:pPr>
    </w:p>
    <w:p w14:paraId="7C4DCFF5" w14:textId="50282CDF" w:rsidR="002D193C" w:rsidRPr="00E33192" w:rsidRDefault="002D193C" w:rsidP="002D193C">
      <w:pPr>
        <w:ind w:left="720" w:hanging="720"/>
        <w:contextualSpacing/>
        <w:jc w:val="left"/>
        <w:rPr>
          <w:rFonts w:ascii="MS Reference Sans Serif" w:eastAsia="Times New Roman" w:hAnsi="MS Reference Sans Serif"/>
          <w:i/>
          <w:iCs/>
          <w:color w:val="000000"/>
          <w:sz w:val="22"/>
        </w:rPr>
      </w:pPr>
      <w:r w:rsidRPr="00E33192">
        <w:rPr>
          <w:rFonts w:ascii="MS Reference Sans Serif" w:eastAsia="Times New Roman" w:hAnsi="MS Reference Sans Serif"/>
          <w:color w:val="000000"/>
          <w:sz w:val="22"/>
        </w:rPr>
        <w:t xml:space="preserve">He, Y., Prater, K., &amp; Steed, T. (2011). Moving beyond </w:t>
      </w:r>
      <w:r w:rsidR="002713FD">
        <w:rPr>
          <w:rFonts w:ascii="MS Reference Sans Serif" w:eastAsia="Times New Roman" w:hAnsi="MS Reference Sans Serif"/>
          <w:color w:val="000000"/>
          <w:sz w:val="22"/>
        </w:rPr>
        <w:t>“</w:t>
      </w:r>
      <w:r w:rsidRPr="00E33192">
        <w:rPr>
          <w:rFonts w:ascii="MS Reference Sans Serif" w:eastAsia="Times New Roman" w:hAnsi="MS Reference Sans Serif"/>
          <w:color w:val="000000"/>
          <w:sz w:val="22"/>
        </w:rPr>
        <w:t>just good teaching</w:t>
      </w:r>
      <w:r w:rsidR="002713FD">
        <w:rPr>
          <w:rFonts w:ascii="MS Reference Sans Serif" w:eastAsia="Times New Roman" w:hAnsi="MS Reference Sans Serif"/>
          <w:color w:val="000000"/>
          <w:sz w:val="22"/>
        </w:rPr>
        <w:t>”</w:t>
      </w:r>
      <w:r w:rsidRPr="00E33192">
        <w:rPr>
          <w:rFonts w:ascii="MS Reference Sans Serif" w:eastAsia="Times New Roman" w:hAnsi="MS Reference Sans Serif"/>
          <w:color w:val="000000"/>
          <w:sz w:val="22"/>
        </w:rPr>
        <w:t xml:space="preserve">: ESL professional development for all teachers. </w:t>
      </w:r>
      <w:r w:rsidRPr="00E33192">
        <w:rPr>
          <w:rFonts w:ascii="MS Reference Sans Serif" w:eastAsia="Times New Roman" w:hAnsi="MS Reference Sans Serif"/>
          <w:i/>
          <w:iCs/>
          <w:color w:val="000000"/>
          <w:sz w:val="22"/>
        </w:rPr>
        <w:t>Professional Development in Education</w:t>
      </w:r>
      <w:r w:rsidRPr="002713FD">
        <w:rPr>
          <w:rFonts w:ascii="MS Reference Sans Serif" w:eastAsia="Times New Roman" w:hAnsi="MS Reference Sans Serif"/>
          <w:color w:val="000000"/>
          <w:sz w:val="22"/>
        </w:rPr>
        <w:t>,</w:t>
      </w:r>
      <w:r w:rsidRPr="00E33192">
        <w:rPr>
          <w:rFonts w:ascii="MS Reference Sans Serif" w:eastAsia="Times New Roman" w:hAnsi="MS Reference Sans Serif"/>
          <w:i/>
          <w:iCs/>
          <w:color w:val="000000"/>
          <w:sz w:val="22"/>
        </w:rPr>
        <w:t xml:space="preserve"> 37</w:t>
      </w:r>
      <w:r w:rsidRPr="00E33192">
        <w:rPr>
          <w:rFonts w:ascii="MS Reference Sans Serif" w:eastAsia="Times New Roman" w:hAnsi="MS Reference Sans Serif"/>
          <w:color w:val="000000"/>
          <w:sz w:val="22"/>
        </w:rPr>
        <w:t xml:space="preserve">(1). </w:t>
      </w:r>
      <w:hyperlink r:id="rId19" w:history="1">
        <w:r w:rsidRPr="00E33192">
          <w:rPr>
            <w:rStyle w:val="Hyperlink"/>
            <w:rFonts w:ascii="MS Reference Sans Serif" w:hAnsi="MS Reference Sans Serif"/>
            <w:sz w:val="22"/>
          </w:rPr>
          <w:t>https://doi.org/</w:t>
        </w:r>
        <w:r w:rsidRPr="00E33192">
          <w:rPr>
            <w:rStyle w:val="Hyperlink"/>
            <w:rFonts w:ascii="MS Reference Sans Serif" w:eastAsia="Times New Roman" w:hAnsi="MS Reference Sans Serif"/>
            <w:sz w:val="22"/>
          </w:rPr>
          <w:t>10.1080/19415250903467199</w:t>
        </w:r>
      </w:hyperlink>
      <w:r w:rsidRPr="00E33192">
        <w:rPr>
          <w:rFonts w:ascii="MS Reference Sans Serif" w:eastAsia="Times New Roman" w:hAnsi="MS Reference Sans Serif"/>
          <w:i/>
          <w:iCs/>
          <w:color w:val="000000"/>
          <w:sz w:val="22"/>
        </w:rPr>
        <w:t> </w:t>
      </w:r>
    </w:p>
    <w:p w14:paraId="502FED0E" w14:textId="77777777" w:rsidR="002D193C" w:rsidRPr="00E33192" w:rsidRDefault="002D193C" w:rsidP="002D193C">
      <w:pPr>
        <w:ind w:left="720" w:hanging="720"/>
        <w:contextualSpacing/>
        <w:jc w:val="left"/>
        <w:rPr>
          <w:rFonts w:ascii="MS Reference Sans Serif" w:eastAsia="Times New Roman" w:hAnsi="MS Reference Sans Serif"/>
          <w:i/>
          <w:iCs/>
          <w:color w:val="000000"/>
          <w:sz w:val="22"/>
        </w:rPr>
      </w:pPr>
    </w:p>
    <w:p w14:paraId="59A60016" w14:textId="77777777" w:rsidR="002D193C" w:rsidRPr="00E33192" w:rsidRDefault="002D193C" w:rsidP="002D193C">
      <w:pPr>
        <w:ind w:left="720" w:hanging="720"/>
        <w:contextualSpacing/>
        <w:jc w:val="left"/>
        <w:rPr>
          <w:rFonts w:ascii="MS Reference Sans Serif" w:eastAsia="Times New Roman" w:hAnsi="MS Reference Sans Serif"/>
          <w:iCs/>
          <w:color w:val="000000"/>
          <w:sz w:val="22"/>
        </w:rPr>
      </w:pPr>
      <w:r w:rsidRPr="00E33192">
        <w:rPr>
          <w:rFonts w:ascii="MS Reference Sans Serif" w:eastAsia="Times New Roman" w:hAnsi="MS Reference Sans Serif"/>
          <w:iCs/>
          <w:color w:val="000000"/>
          <w:sz w:val="22"/>
        </w:rPr>
        <w:t xml:space="preserve">Herrera, S. (2016). </w:t>
      </w:r>
      <w:r w:rsidRPr="00E33192">
        <w:rPr>
          <w:rFonts w:ascii="MS Reference Sans Serif" w:eastAsia="Times New Roman" w:hAnsi="MS Reference Sans Serif"/>
          <w:i/>
          <w:iCs/>
          <w:color w:val="000000"/>
          <w:sz w:val="22"/>
        </w:rPr>
        <w:t xml:space="preserve">Biography-driven culturally responsive teaching </w:t>
      </w:r>
      <w:r w:rsidRPr="00E33192">
        <w:rPr>
          <w:rFonts w:ascii="MS Reference Sans Serif" w:eastAsia="Times New Roman" w:hAnsi="MS Reference Sans Serif"/>
          <w:iCs/>
          <w:color w:val="000000"/>
          <w:sz w:val="22"/>
        </w:rPr>
        <w:t>(2nd ed.). Teachers College Press.</w:t>
      </w:r>
    </w:p>
    <w:p w14:paraId="505E2934" w14:textId="77777777" w:rsidR="002D193C" w:rsidRPr="00E33192" w:rsidRDefault="002D193C" w:rsidP="002D193C">
      <w:pPr>
        <w:ind w:left="720" w:hanging="720"/>
        <w:contextualSpacing/>
        <w:jc w:val="left"/>
        <w:rPr>
          <w:rFonts w:ascii="MS Reference Sans Serif" w:eastAsia="Times New Roman" w:hAnsi="MS Reference Sans Serif"/>
          <w:iCs/>
          <w:color w:val="000000"/>
          <w:sz w:val="22"/>
        </w:rPr>
      </w:pPr>
    </w:p>
    <w:p w14:paraId="475F883B" w14:textId="27B29A65"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Herrera, S. G., &amp; Kavimandan, S. K. (2019, October). Inventory of situationally and culturally responsive teaching. In Center for Intercultural and Multilingual Advocacy [CIMA] training session conducted at </w:t>
      </w:r>
      <w:r w:rsidR="0040783F" w:rsidRPr="0040783F">
        <w:rPr>
          <w:rFonts w:ascii="MS Reference Sans Serif" w:hAnsi="MS Reference Sans Serif"/>
          <w:color w:val="000000" w:themeColor="text1"/>
          <w:sz w:val="22"/>
        </w:rPr>
        <w:t>Kansas State University.</w:t>
      </w:r>
    </w:p>
    <w:p w14:paraId="36FA1F31" w14:textId="77777777" w:rsidR="002D193C" w:rsidRPr="00E33192" w:rsidRDefault="002D193C" w:rsidP="002D193C">
      <w:pPr>
        <w:ind w:left="720" w:hanging="720"/>
        <w:contextualSpacing/>
        <w:jc w:val="left"/>
        <w:rPr>
          <w:rFonts w:ascii="MS Reference Sans Serif" w:hAnsi="MS Reference Sans Serif"/>
          <w:sz w:val="22"/>
        </w:rPr>
      </w:pPr>
    </w:p>
    <w:p w14:paraId="348B79E3" w14:textId="77777777" w:rsidR="002D193C" w:rsidRPr="00E33192" w:rsidRDefault="002D193C" w:rsidP="002D193C">
      <w:pPr>
        <w:ind w:left="720" w:hanging="720"/>
        <w:contextualSpacing/>
        <w:jc w:val="left"/>
        <w:rPr>
          <w:rFonts w:ascii="MS Reference Sans Serif" w:eastAsia="Times New Roman" w:hAnsi="MS Reference Sans Serif"/>
          <w:iCs/>
          <w:color w:val="000000"/>
          <w:sz w:val="22"/>
        </w:rPr>
      </w:pPr>
      <w:r w:rsidRPr="00E33192">
        <w:rPr>
          <w:rFonts w:ascii="MS Reference Sans Serif" w:eastAsia="Times New Roman" w:hAnsi="MS Reference Sans Serif"/>
          <w:iCs/>
          <w:color w:val="000000"/>
          <w:sz w:val="22"/>
          <w:lang w:val="es-US"/>
        </w:rPr>
        <w:t xml:space="preserve">Herrera, S. G., Perez, D. R., Kavimandan, S. K., Holmes, M. A., &amp; Miller, S. S. (2011, April). </w:t>
      </w:r>
      <w:r w:rsidRPr="00E33192">
        <w:rPr>
          <w:rFonts w:ascii="MS Reference Sans Serif" w:eastAsia="Times New Roman" w:hAnsi="MS Reference Sans Serif"/>
          <w:iCs/>
          <w:color w:val="000000"/>
          <w:sz w:val="22"/>
        </w:rPr>
        <w:t xml:space="preserve">Beyond reductionism and quick fixes: Quantitatively measuring effective pedagogy in the instruction of CLD students. Paper presented at the </w:t>
      </w:r>
      <w:r w:rsidRPr="00E33192">
        <w:rPr>
          <w:rFonts w:ascii="MS Reference Sans Serif" w:eastAsia="Times New Roman" w:hAnsi="MS Reference Sans Serif"/>
          <w:iCs/>
          <w:color w:val="000000"/>
          <w:sz w:val="22"/>
        </w:rPr>
        <w:lastRenderedPageBreak/>
        <w:t>annual meeting of the American Educational Research Association, New Orleans, LA.</w:t>
      </w:r>
    </w:p>
    <w:p w14:paraId="65CFC032" w14:textId="77777777" w:rsidR="002D193C" w:rsidRPr="00E33192" w:rsidRDefault="002D193C" w:rsidP="002D193C">
      <w:pPr>
        <w:ind w:left="720" w:hanging="720"/>
        <w:contextualSpacing/>
        <w:jc w:val="left"/>
        <w:rPr>
          <w:rFonts w:ascii="MS Reference Sans Serif" w:eastAsia="Times New Roman" w:hAnsi="MS Reference Sans Serif"/>
          <w:iCs/>
          <w:color w:val="000000"/>
          <w:sz w:val="22"/>
        </w:rPr>
      </w:pPr>
    </w:p>
    <w:p w14:paraId="6E0D29FC" w14:textId="77777777" w:rsidR="002D193C" w:rsidRPr="00E33192" w:rsidRDefault="002D193C" w:rsidP="002D193C">
      <w:pPr>
        <w:ind w:left="720" w:hanging="720"/>
        <w:contextualSpacing/>
        <w:jc w:val="left"/>
        <w:rPr>
          <w:rFonts w:ascii="MS Reference Sans Serif" w:eastAsia="Times New Roman" w:hAnsi="MS Reference Sans Serif"/>
          <w:iCs/>
          <w:color w:val="000000"/>
          <w:sz w:val="22"/>
        </w:rPr>
      </w:pPr>
      <w:r w:rsidRPr="00E33192">
        <w:rPr>
          <w:rFonts w:ascii="MS Reference Sans Serif" w:eastAsia="Times New Roman" w:hAnsi="MS Reference Sans Serif"/>
          <w:iCs/>
          <w:color w:val="000000"/>
          <w:sz w:val="22"/>
        </w:rPr>
        <w:t xml:space="preserve">Howard, T., &amp; Rodriguez-Minkoff, A. (2017). Culturally relevant pedagogy 20 years later: Progress or pontificating? What have we learned, and where do we go? </w:t>
      </w:r>
      <w:r w:rsidRPr="00E33192">
        <w:rPr>
          <w:rFonts w:ascii="MS Reference Sans Serif" w:eastAsia="Times New Roman" w:hAnsi="MS Reference Sans Serif"/>
          <w:i/>
          <w:iCs/>
          <w:color w:val="000000"/>
          <w:sz w:val="22"/>
        </w:rPr>
        <w:t>Teachers College Record</w:t>
      </w:r>
      <w:r w:rsidRPr="00913B09">
        <w:rPr>
          <w:rFonts w:ascii="MS Reference Sans Serif" w:eastAsia="Times New Roman" w:hAnsi="MS Reference Sans Serif"/>
          <w:color w:val="000000"/>
          <w:sz w:val="22"/>
        </w:rPr>
        <w:t>,</w:t>
      </w:r>
      <w:r w:rsidRPr="00E33192">
        <w:rPr>
          <w:rFonts w:ascii="MS Reference Sans Serif" w:eastAsia="Times New Roman" w:hAnsi="MS Reference Sans Serif"/>
          <w:i/>
          <w:iCs/>
          <w:color w:val="000000"/>
          <w:sz w:val="22"/>
        </w:rPr>
        <w:t xml:space="preserve"> 119</w:t>
      </w:r>
      <w:r w:rsidRPr="00E33192">
        <w:rPr>
          <w:rFonts w:ascii="MS Reference Sans Serif" w:eastAsia="Times New Roman" w:hAnsi="MS Reference Sans Serif"/>
          <w:iCs/>
          <w:color w:val="000000"/>
          <w:sz w:val="22"/>
        </w:rPr>
        <w:t xml:space="preserve">(1). </w:t>
      </w:r>
    </w:p>
    <w:p w14:paraId="0A109100" w14:textId="77777777" w:rsidR="002D193C" w:rsidRPr="00E33192" w:rsidRDefault="002D193C" w:rsidP="002D193C">
      <w:pPr>
        <w:ind w:left="720" w:hanging="720"/>
        <w:contextualSpacing/>
        <w:jc w:val="left"/>
        <w:rPr>
          <w:rFonts w:ascii="MS Reference Sans Serif" w:eastAsia="Times New Roman" w:hAnsi="MS Reference Sans Serif"/>
          <w:iCs/>
          <w:color w:val="000000"/>
          <w:sz w:val="22"/>
        </w:rPr>
      </w:pPr>
    </w:p>
    <w:p w14:paraId="38976892" w14:textId="0B39F5DA" w:rsidR="002D193C" w:rsidRPr="00E33192" w:rsidRDefault="002D193C" w:rsidP="002D193C">
      <w:pPr>
        <w:ind w:left="720" w:hanging="720"/>
        <w:contextualSpacing/>
        <w:jc w:val="left"/>
        <w:rPr>
          <w:rFonts w:ascii="MS Reference Sans Serif" w:eastAsia="Times New Roman" w:hAnsi="MS Reference Sans Serif"/>
          <w:color w:val="000000"/>
          <w:sz w:val="22"/>
        </w:rPr>
      </w:pPr>
      <w:r w:rsidRPr="00E33192">
        <w:rPr>
          <w:rFonts w:ascii="MS Reference Sans Serif" w:eastAsia="Times New Roman" w:hAnsi="MS Reference Sans Serif"/>
          <w:color w:val="000000"/>
          <w:sz w:val="22"/>
        </w:rPr>
        <w:t xml:space="preserve">Kim, Y., &amp; Steiner, P. (2016). Quasi-experimental designs for causal inference. </w:t>
      </w:r>
      <w:r w:rsidRPr="00E33192">
        <w:rPr>
          <w:rFonts w:ascii="MS Reference Sans Serif" w:eastAsia="Times New Roman" w:hAnsi="MS Reference Sans Serif"/>
          <w:i/>
          <w:iCs/>
          <w:color w:val="000000"/>
          <w:sz w:val="22"/>
        </w:rPr>
        <w:t>Educational Psychologist</w:t>
      </w:r>
      <w:r w:rsidRPr="005D122D">
        <w:rPr>
          <w:rFonts w:ascii="MS Reference Sans Serif" w:eastAsia="Times New Roman" w:hAnsi="MS Reference Sans Serif"/>
          <w:color w:val="000000"/>
          <w:sz w:val="22"/>
        </w:rPr>
        <w:t>,</w:t>
      </w:r>
      <w:r w:rsidRPr="00E33192">
        <w:rPr>
          <w:rFonts w:ascii="MS Reference Sans Serif" w:eastAsia="Times New Roman" w:hAnsi="MS Reference Sans Serif"/>
          <w:i/>
          <w:iCs/>
          <w:color w:val="000000"/>
          <w:sz w:val="22"/>
        </w:rPr>
        <w:t xml:space="preserve"> 51</w:t>
      </w:r>
      <w:r w:rsidRPr="00E33192">
        <w:rPr>
          <w:rFonts w:ascii="MS Reference Sans Serif" w:eastAsia="Times New Roman" w:hAnsi="MS Reference Sans Serif"/>
          <w:color w:val="000000"/>
          <w:sz w:val="22"/>
        </w:rPr>
        <w:t>(3</w:t>
      </w:r>
      <w:r w:rsidR="00150194">
        <w:rPr>
          <w:rFonts w:ascii="MS Reference Sans Serif" w:eastAsia="Times New Roman" w:hAnsi="MS Reference Sans Serif"/>
          <w:color w:val="000000"/>
          <w:sz w:val="22"/>
        </w:rPr>
        <w:t>–</w:t>
      </w:r>
      <w:r w:rsidRPr="00E33192">
        <w:rPr>
          <w:rFonts w:ascii="MS Reference Sans Serif" w:eastAsia="Times New Roman" w:hAnsi="MS Reference Sans Serif"/>
          <w:color w:val="000000"/>
          <w:sz w:val="22"/>
        </w:rPr>
        <w:t>4), 395</w:t>
      </w:r>
      <w:r w:rsidR="00150194">
        <w:rPr>
          <w:rFonts w:ascii="MS Reference Sans Serif" w:eastAsia="Times New Roman" w:hAnsi="MS Reference Sans Serif"/>
          <w:color w:val="000000"/>
          <w:sz w:val="22"/>
        </w:rPr>
        <w:t>–</w:t>
      </w:r>
      <w:r w:rsidRPr="00E33192">
        <w:rPr>
          <w:rFonts w:ascii="MS Reference Sans Serif" w:eastAsia="Times New Roman" w:hAnsi="MS Reference Sans Serif"/>
          <w:color w:val="000000"/>
          <w:sz w:val="22"/>
        </w:rPr>
        <w:t xml:space="preserve">405. </w:t>
      </w:r>
      <w:hyperlink r:id="rId20" w:history="1">
        <w:r w:rsidRPr="00E33192">
          <w:rPr>
            <w:rStyle w:val="Hyperlink"/>
            <w:rFonts w:ascii="MS Reference Sans Serif" w:hAnsi="MS Reference Sans Serif"/>
            <w:sz w:val="22"/>
          </w:rPr>
          <w:t>https://doi.org/</w:t>
        </w:r>
        <w:r w:rsidRPr="00E33192">
          <w:rPr>
            <w:rStyle w:val="Hyperlink"/>
            <w:rFonts w:ascii="MS Reference Sans Serif" w:eastAsia="Times New Roman" w:hAnsi="MS Reference Sans Serif"/>
            <w:sz w:val="22"/>
          </w:rPr>
          <w:t>10.1080/00461520.2016.1207177</w:t>
        </w:r>
      </w:hyperlink>
    </w:p>
    <w:p w14:paraId="23936C07" w14:textId="77777777" w:rsidR="002D193C" w:rsidRPr="00E33192" w:rsidRDefault="002D193C" w:rsidP="002D193C">
      <w:pPr>
        <w:ind w:left="720" w:hanging="720"/>
        <w:contextualSpacing/>
        <w:jc w:val="left"/>
        <w:rPr>
          <w:rFonts w:ascii="MS Reference Sans Serif" w:hAnsi="MS Reference Sans Serif"/>
          <w:sz w:val="22"/>
        </w:rPr>
      </w:pPr>
    </w:p>
    <w:p w14:paraId="69A40ADA" w14:textId="1A432ED1"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Knight, D., Hock, M., </w:t>
      </w:r>
      <w:proofErr w:type="spellStart"/>
      <w:r w:rsidRPr="00E33192">
        <w:rPr>
          <w:rFonts w:ascii="MS Reference Sans Serif" w:hAnsi="MS Reference Sans Serif"/>
          <w:sz w:val="22"/>
        </w:rPr>
        <w:t>Skrtic</w:t>
      </w:r>
      <w:proofErr w:type="spellEnd"/>
      <w:r w:rsidRPr="00E33192">
        <w:rPr>
          <w:rFonts w:ascii="MS Reference Sans Serif" w:hAnsi="MS Reference Sans Serif"/>
          <w:sz w:val="22"/>
        </w:rPr>
        <w:t xml:space="preserve">, T. M., Bradley, B. A., &amp; Knight, J. (2018). Evaluation of video-based instructional coaching for middle school teachers: Evidence from a multiple baseline study. </w:t>
      </w:r>
      <w:r w:rsidRPr="00E33192">
        <w:rPr>
          <w:rFonts w:ascii="MS Reference Sans Serif" w:hAnsi="MS Reference Sans Serif"/>
          <w:i/>
          <w:sz w:val="22"/>
        </w:rPr>
        <w:t>The Educational Forum</w:t>
      </w:r>
      <w:r w:rsidRPr="00AB093F">
        <w:rPr>
          <w:rFonts w:ascii="MS Reference Sans Serif" w:hAnsi="MS Reference Sans Serif"/>
          <w:iCs/>
          <w:sz w:val="22"/>
        </w:rPr>
        <w:t>,</w:t>
      </w:r>
      <w:r w:rsidRPr="00E33192">
        <w:rPr>
          <w:rFonts w:ascii="MS Reference Sans Serif" w:hAnsi="MS Reference Sans Serif"/>
          <w:i/>
          <w:sz w:val="22"/>
        </w:rPr>
        <w:t xml:space="preserve"> 82</w:t>
      </w:r>
      <w:r w:rsidRPr="00E33192">
        <w:rPr>
          <w:rFonts w:ascii="MS Reference Sans Serif" w:hAnsi="MS Reference Sans Serif"/>
          <w:sz w:val="22"/>
        </w:rPr>
        <w:t>(4), 425</w:t>
      </w:r>
      <w:r w:rsidR="00150194">
        <w:rPr>
          <w:rFonts w:ascii="MS Reference Sans Serif" w:hAnsi="MS Reference Sans Serif"/>
          <w:sz w:val="22"/>
        </w:rPr>
        <w:t>–</w:t>
      </w:r>
      <w:r w:rsidRPr="00E33192">
        <w:rPr>
          <w:rFonts w:ascii="MS Reference Sans Serif" w:hAnsi="MS Reference Sans Serif"/>
          <w:sz w:val="22"/>
        </w:rPr>
        <w:t xml:space="preserve">442. </w:t>
      </w:r>
      <w:hyperlink r:id="rId21" w:history="1">
        <w:r w:rsidRPr="00E33192">
          <w:rPr>
            <w:rStyle w:val="Hyperlink"/>
            <w:rFonts w:ascii="MS Reference Sans Serif" w:hAnsi="MS Reference Sans Serif"/>
            <w:sz w:val="22"/>
          </w:rPr>
          <w:t>https://doi.org/10.1080/00131725.2018.1474985</w:t>
        </w:r>
      </w:hyperlink>
    </w:p>
    <w:p w14:paraId="554143E1" w14:textId="77777777" w:rsidR="002D193C" w:rsidRPr="00E33192" w:rsidRDefault="002D193C" w:rsidP="002D193C">
      <w:pPr>
        <w:ind w:left="720" w:hanging="720"/>
        <w:contextualSpacing/>
        <w:jc w:val="left"/>
        <w:rPr>
          <w:rFonts w:ascii="MS Reference Sans Serif" w:hAnsi="MS Reference Sans Serif"/>
          <w:sz w:val="22"/>
        </w:rPr>
      </w:pPr>
    </w:p>
    <w:p w14:paraId="43D60427"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Knight, J. (2007). </w:t>
      </w:r>
      <w:r w:rsidRPr="00E33192">
        <w:rPr>
          <w:rFonts w:ascii="MS Reference Sans Serif" w:hAnsi="MS Reference Sans Serif"/>
          <w:i/>
          <w:sz w:val="22"/>
        </w:rPr>
        <w:t>Instructional coaching: A partnership approach to improving instruction</w:t>
      </w:r>
      <w:r w:rsidRPr="00E33192">
        <w:rPr>
          <w:rFonts w:ascii="MS Reference Sans Serif" w:hAnsi="MS Reference Sans Serif"/>
          <w:sz w:val="22"/>
        </w:rPr>
        <w:t xml:space="preserve">. Corwin. </w:t>
      </w:r>
    </w:p>
    <w:p w14:paraId="046A17D9" w14:textId="77777777" w:rsidR="002D193C" w:rsidRPr="00E33192" w:rsidRDefault="002D193C" w:rsidP="002D193C">
      <w:pPr>
        <w:ind w:left="720" w:hanging="720"/>
        <w:contextualSpacing/>
        <w:jc w:val="left"/>
        <w:rPr>
          <w:rFonts w:ascii="MS Reference Sans Serif" w:hAnsi="MS Reference Sans Serif"/>
          <w:sz w:val="22"/>
        </w:rPr>
      </w:pPr>
    </w:p>
    <w:p w14:paraId="7521A4D7"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Knight, J. (2018). </w:t>
      </w:r>
      <w:r w:rsidRPr="00E33192">
        <w:rPr>
          <w:rFonts w:ascii="MS Reference Sans Serif" w:hAnsi="MS Reference Sans Serif"/>
          <w:i/>
          <w:sz w:val="22"/>
        </w:rPr>
        <w:t xml:space="preserve">The impact cycle: What instructional coaches should do to foster powerful improvements in teaching. </w:t>
      </w:r>
      <w:r w:rsidRPr="00E33192">
        <w:rPr>
          <w:rFonts w:ascii="MS Reference Sans Serif" w:hAnsi="MS Reference Sans Serif"/>
          <w:sz w:val="22"/>
        </w:rPr>
        <w:t>Corwin.</w:t>
      </w:r>
    </w:p>
    <w:p w14:paraId="26BDB11C" w14:textId="77777777" w:rsidR="002D193C" w:rsidRPr="00E33192" w:rsidRDefault="002D193C" w:rsidP="002D193C">
      <w:pPr>
        <w:ind w:left="720" w:hanging="720"/>
        <w:contextualSpacing/>
        <w:jc w:val="left"/>
        <w:rPr>
          <w:rFonts w:ascii="MS Reference Sans Serif" w:hAnsi="MS Reference Sans Serif"/>
          <w:sz w:val="22"/>
        </w:rPr>
      </w:pPr>
    </w:p>
    <w:p w14:paraId="56405351" w14:textId="2A83FAEA" w:rsidR="002D193C" w:rsidRPr="00E33192" w:rsidRDefault="002D193C" w:rsidP="002D193C">
      <w:pPr>
        <w:ind w:left="720" w:hanging="720"/>
        <w:contextualSpacing/>
        <w:jc w:val="left"/>
        <w:rPr>
          <w:rFonts w:ascii="MS Reference Sans Serif" w:hAnsi="MS Reference Sans Serif"/>
          <w:sz w:val="22"/>
          <w:lang w:val="es-MX"/>
        </w:rPr>
      </w:pPr>
      <w:r w:rsidRPr="00E33192">
        <w:rPr>
          <w:rFonts w:ascii="MS Reference Sans Serif" w:hAnsi="MS Reference Sans Serif"/>
          <w:sz w:val="22"/>
        </w:rPr>
        <w:t xml:space="preserve">Knight, J. (2019). Instructional coaching for implementing visible learning: A model for translating research into practice. </w:t>
      </w:r>
      <w:r w:rsidRPr="00E33192">
        <w:rPr>
          <w:rFonts w:ascii="MS Reference Sans Serif" w:hAnsi="MS Reference Sans Serif"/>
          <w:i/>
          <w:sz w:val="22"/>
          <w:lang w:val="es-MX"/>
        </w:rPr>
        <w:t>Educ</w:t>
      </w:r>
      <w:r w:rsidR="00AB093F">
        <w:rPr>
          <w:rFonts w:ascii="MS Reference Sans Serif" w:hAnsi="MS Reference Sans Serif"/>
          <w:i/>
          <w:sz w:val="22"/>
          <w:lang w:val="es-MX"/>
        </w:rPr>
        <w:t xml:space="preserve">ation </w:t>
      </w:r>
      <w:r w:rsidR="00AB093F" w:rsidRPr="00AB093F">
        <w:rPr>
          <w:rFonts w:ascii="MS Reference Sans Serif" w:hAnsi="MS Reference Sans Serif"/>
          <w:iCs/>
          <w:sz w:val="22"/>
          <w:lang w:val="es-MX"/>
        </w:rPr>
        <w:t>Sciences</w:t>
      </w:r>
      <w:r w:rsidR="00AB093F">
        <w:rPr>
          <w:rFonts w:ascii="MS Reference Sans Serif" w:hAnsi="MS Reference Sans Serif"/>
          <w:iCs/>
          <w:sz w:val="22"/>
          <w:lang w:val="es-MX"/>
        </w:rPr>
        <w:t xml:space="preserve">, </w:t>
      </w:r>
      <w:r w:rsidRPr="00AB093F">
        <w:rPr>
          <w:rFonts w:ascii="MS Reference Sans Serif" w:hAnsi="MS Reference Sans Serif"/>
          <w:i/>
          <w:sz w:val="22"/>
          <w:lang w:val="es-MX"/>
        </w:rPr>
        <w:t>9</w:t>
      </w:r>
      <w:r w:rsidRPr="00E33192">
        <w:rPr>
          <w:rFonts w:ascii="MS Reference Sans Serif" w:hAnsi="MS Reference Sans Serif"/>
          <w:sz w:val="22"/>
          <w:lang w:val="es-MX"/>
        </w:rPr>
        <w:t xml:space="preserve">(2), 101. </w:t>
      </w:r>
      <w:hyperlink r:id="rId22" w:history="1">
        <w:r w:rsidRPr="00E33192">
          <w:rPr>
            <w:rStyle w:val="Hyperlink"/>
            <w:rFonts w:ascii="MS Reference Sans Serif" w:hAnsi="MS Reference Sans Serif"/>
            <w:sz w:val="22"/>
            <w:lang w:val="es-MX"/>
          </w:rPr>
          <w:t>https://doi.org/10.3390/educsci9020101</w:t>
        </w:r>
      </w:hyperlink>
    </w:p>
    <w:p w14:paraId="7CC92396" w14:textId="77777777" w:rsidR="002D193C" w:rsidRPr="00E33192" w:rsidRDefault="002D193C" w:rsidP="002D193C">
      <w:pPr>
        <w:ind w:left="720" w:hanging="720"/>
        <w:contextualSpacing/>
        <w:jc w:val="left"/>
        <w:rPr>
          <w:rFonts w:ascii="MS Reference Sans Serif" w:hAnsi="MS Reference Sans Serif"/>
          <w:sz w:val="22"/>
          <w:lang w:val="es-MX"/>
        </w:rPr>
      </w:pPr>
    </w:p>
    <w:p w14:paraId="4B67378A" w14:textId="0E5EDB24"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lang w:val="es-MX"/>
        </w:rPr>
        <w:t xml:space="preserve">Kraft, M. A., Blazar, D., &amp; Hogan, D. (2018). </w:t>
      </w:r>
      <w:r w:rsidRPr="00E33192">
        <w:rPr>
          <w:rFonts w:ascii="MS Reference Sans Serif" w:hAnsi="MS Reference Sans Serif"/>
          <w:sz w:val="22"/>
        </w:rPr>
        <w:t xml:space="preserve">The effect of teacher coaching on instruction and achievement: A meta-analysis of the causal evidence. </w:t>
      </w:r>
      <w:r w:rsidRPr="00E33192">
        <w:rPr>
          <w:rFonts w:ascii="MS Reference Sans Serif" w:hAnsi="MS Reference Sans Serif"/>
          <w:i/>
          <w:sz w:val="22"/>
        </w:rPr>
        <w:t>Review of Educational Research</w:t>
      </w:r>
      <w:r w:rsidRPr="00A148FC">
        <w:rPr>
          <w:rFonts w:ascii="MS Reference Sans Serif" w:hAnsi="MS Reference Sans Serif"/>
          <w:iCs/>
          <w:sz w:val="22"/>
        </w:rPr>
        <w:t>,</w:t>
      </w:r>
      <w:r w:rsidRPr="00E33192">
        <w:rPr>
          <w:rFonts w:ascii="MS Reference Sans Serif" w:hAnsi="MS Reference Sans Serif"/>
          <w:i/>
          <w:sz w:val="22"/>
        </w:rPr>
        <w:t xml:space="preserve"> 88</w:t>
      </w:r>
      <w:r w:rsidRPr="00E33192">
        <w:rPr>
          <w:rFonts w:ascii="MS Reference Sans Serif" w:hAnsi="MS Reference Sans Serif"/>
          <w:sz w:val="22"/>
        </w:rPr>
        <w:t>(4), 547</w:t>
      </w:r>
      <w:r w:rsidR="00150194">
        <w:rPr>
          <w:rFonts w:ascii="MS Reference Sans Serif" w:hAnsi="MS Reference Sans Serif"/>
          <w:sz w:val="22"/>
        </w:rPr>
        <w:t>–</w:t>
      </w:r>
      <w:r w:rsidRPr="00E33192">
        <w:rPr>
          <w:rFonts w:ascii="MS Reference Sans Serif" w:hAnsi="MS Reference Sans Serif"/>
          <w:sz w:val="22"/>
        </w:rPr>
        <w:t>588.</w:t>
      </w:r>
    </w:p>
    <w:p w14:paraId="51CA8153" w14:textId="77777777" w:rsidR="002D193C" w:rsidRPr="00E33192" w:rsidRDefault="002D193C" w:rsidP="002D193C">
      <w:pPr>
        <w:ind w:left="720" w:hanging="720"/>
        <w:contextualSpacing/>
        <w:jc w:val="left"/>
        <w:rPr>
          <w:rFonts w:ascii="MS Reference Sans Serif" w:hAnsi="MS Reference Sans Serif"/>
          <w:sz w:val="22"/>
        </w:rPr>
      </w:pPr>
    </w:p>
    <w:p w14:paraId="60D01EF9" w14:textId="58CC1D75"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Ladson-Billings, G. (2014). Culturally relevant pedagogy 2.0: A.k.a. the remix. </w:t>
      </w:r>
      <w:r w:rsidRPr="00E33192">
        <w:rPr>
          <w:rFonts w:ascii="MS Reference Sans Serif" w:hAnsi="MS Reference Sans Serif"/>
          <w:i/>
          <w:sz w:val="22"/>
        </w:rPr>
        <w:t>Harvard Educational Review</w:t>
      </w:r>
      <w:r w:rsidRPr="00062FBF">
        <w:rPr>
          <w:rFonts w:ascii="MS Reference Sans Serif" w:hAnsi="MS Reference Sans Serif"/>
          <w:iCs/>
          <w:sz w:val="22"/>
        </w:rPr>
        <w:t>,</w:t>
      </w:r>
      <w:r w:rsidRPr="00E33192">
        <w:rPr>
          <w:rFonts w:ascii="MS Reference Sans Serif" w:hAnsi="MS Reference Sans Serif"/>
          <w:i/>
          <w:sz w:val="22"/>
        </w:rPr>
        <w:t xml:space="preserve"> 84</w:t>
      </w:r>
      <w:r w:rsidRPr="00E33192">
        <w:rPr>
          <w:rFonts w:ascii="MS Reference Sans Serif" w:hAnsi="MS Reference Sans Serif"/>
          <w:sz w:val="22"/>
        </w:rPr>
        <w:t>(1), 74</w:t>
      </w:r>
      <w:r w:rsidR="00150194">
        <w:rPr>
          <w:rFonts w:ascii="MS Reference Sans Serif" w:hAnsi="MS Reference Sans Serif"/>
          <w:sz w:val="22"/>
        </w:rPr>
        <w:t>–</w:t>
      </w:r>
      <w:r w:rsidRPr="00E33192">
        <w:rPr>
          <w:rFonts w:ascii="MS Reference Sans Serif" w:hAnsi="MS Reference Sans Serif"/>
          <w:sz w:val="22"/>
        </w:rPr>
        <w:t>84.</w:t>
      </w:r>
    </w:p>
    <w:p w14:paraId="2B411DC9" w14:textId="77777777" w:rsidR="002D193C" w:rsidRPr="00E33192" w:rsidRDefault="002D193C" w:rsidP="002D193C">
      <w:pPr>
        <w:ind w:left="720" w:hanging="720"/>
        <w:contextualSpacing/>
        <w:jc w:val="left"/>
        <w:rPr>
          <w:rFonts w:ascii="MS Reference Sans Serif" w:hAnsi="MS Reference Sans Serif"/>
          <w:sz w:val="22"/>
        </w:rPr>
      </w:pPr>
    </w:p>
    <w:p w14:paraId="7C206E00" w14:textId="08BC6E35"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Master, B., Loeb, S., Whitney, C., &amp; Wyckoff, J. (2016). Different skills? Identifying differentially effective teachers of English language learners. </w:t>
      </w:r>
      <w:r w:rsidRPr="00E33192">
        <w:rPr>
          <w:rFonts w:ascii="MS Reference Sans Serif" w:hAnsi="MS Reference Sans Serif"/>
          <w:i/>
          <w:sz w:val="22"/>
        </w:rPr>
        <w:t>Elementary School Journal</w:t>
      </w:r>
      <w:r w:rsidRPr="002713FD">
        <w:rPr>
          <w:rFonts w:ascii="MS Reference Sans Serif" w:hAnsi="MS Reference Sans Serif"/>
          <w:iCs/>
          <w:sz w:val="22"/>
        </w:rPr>
        <w:t>,</w:t>
      </w:r>
      <w:r w:rsidRPr="00E33192">
        <w:rPr>
          <w:rFonts w:ascii="MS Reference Sans Serif" w:hAnsi="MS Reference Sans Serif"/>
          <w:i/>
          <w:sz w:val="22"/>
        </w:rPr>
        <w:t xml:space="preserve"> 117</w:t>
      </w:r>
      <w:r w:rsidRPr="00E33192">
        <w:rPr>
          <w:rFonts w:ascii="MS Reference Sans Serif" w:hAnsi="MS Reference Sans Serif"/>
          <w:sz w:val="22"/>
        </w:rPr>
        <w:t>(2), 261</w:t>
      </w:r>
      <w:r w:rsidR="00150194">
        <w:rPr>
          <w:rFonts w:ascii="MS Reference Sans Serif" w:hAnsi="MS Reference Sans Serif"/>
          <w:sz w:val="22"/>
        </w:rPr>
        <w:t>–</w:t>
      </w:r>
      <w:r w:rsidRPr="00E33192">
        <w:rPr>
          <w:rFonts w:ascii="MS Reference Sans Serif" w:hAnsi="MS Reference Sans Serif"/>
          <w:sz w:val="22"/>
        </w:rPr>
        <w:t xml:space="preserve">284. </w:t>
      </w:r>
      <w:hyperlink r:id="rId23" w:history="1">
        <w:r w:rsidRPr="00E33192">
          <w:rPr>
            <w:rStyle w:val="Hyperlink"/>
            <w:rFonts w:ascii="MS Reference Sans Serif" w:hAnsi="MS Reference Sans Serif"/>
            <w:sz w:val="22"/>
          </w:rPr>
          <w:t>https://doi.org/10.1086/688871</w:t>
        </w:r>
      </w:hyperlink>
    </w:p>
    <w:p w14:paraId="0328E8DE" w14:textId="77777777" w:rsidR="002D193C" w:rsidRPr="00E33192" w:rsidRDefault="002D193C" w:rsidP="002D193C">
      <w:pPr>
        <w:ind w:left="720" w:hanging="720"/>
        <w:contextualSpacing/>
        <w:jc w:val="left"/>
        <w:rPr>
          <w:rFonts w:ascii="MS Reference Sans Serif" w:hAnsi="MS Reference Sans Serif"/>
          <w:sz w:val="22"/>
        </w:rPr>
      </w:pPr>
    </w:p>
    <w:p w14:paraId="537A51A8" w14:textId="49659080"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Office of Education Policy. (2019). A brief history of English language learners in</w:t>
      </w:r>
      <w:r w:rsidR="00226C08">
        <w:rPr>
          <w:rFonts w:ascii="MS Reference Sans Serif" w:hAnsi="MS Reference Sans Serif"/>
          <w:sz w:val="22"/>
        </w:rPr>
        <w:t xml:space="preserve"> </w:t>
      </w:r>
      <w:r w:rsidR="00226C08" w:rsidRPr="00226C08">
        <w:rPr>
          <w:rFonts w:ascii="MS Reference Sans Serif" w:hAnsi="MS Reference Sans Serif"/>
          <w:color w:val="000000" w:themeColor="text1"/>
          <w:sz w:val="22"/>
        </w:rPr>
        <w:t>Arkansas</w:t>
      </w:r>
      <w:r w:rsidRPr="00226C08">
        <w:rPr>
          <w:rFonts w:ascii="MS Reference Sans Serif" w:hAnsi="MS Reference Sans Serif"/>
          <w:color w:val="000000" w:themeColor="text1"/>
          <w:sz w:val="22"/>
        </w:rPr>
        <w:t>.</w:t>
      </w:r>
      <w:r w:rsidRPr="00E33192">
        <w:rPr>
          <w:rFonts w:ascii="MS Reference Sans Serif" w:hAnsi="MS Reference Sans Serif"/>
          <w:sz w:val="22"/>
        </w:rPr>
        <w:t xml:space="preserve"> </w:t>
      </w:r>
      <w:r w:rsidR="00062FBF">
        <w:rPr>
          <w:rFonts w:ascii="MS Reference Sans Serif" w:hAnsi="MS Reference Sans Serif"/>
          <w:i/>
          <w:sz w:val="22"/>
        </w:rPr>
        <w:t>Policy Briefs</w:t>
      </w:r>
      <w:r w:rsidRPr="00E33192">
        <w:rPr>
          <w:rFonts w:ascii="MS Reference Sans Serif" w:hAnsi="MS Reference Sans Serif"/>
          <w:i/>
          <w:sz w:val="22"/>
        </w:rPr>
        <w:t>, 16</w:t>
      </w:r>
      <w:r w:rsidRPr="00E33192">
        <w:rPr>
          <w:rFonts w:ascii="MS Reference Sans Serif" w:hAnsi="MS Reference Sans Serif"/>
          <w:sz w:val="22"/>
        </w:rPr>
        <w:t xml:space="preserve">(4). </w:t>
      </w:r>
      <w:hyperlink r:id="rId24" w:history="1">
        <w:r w:rsidRPr="00E33192">
          <w:rPr>
            <w:rStyle w:val="Hyperlink"/>
            <w:rFonts w:ascii="MS Reference Sans Serif" w:hAnsi="MS Reference Sans Serif"/>
            <w:sz w:val="22"/>
          </w:rPr>
          <w:t>http://www.officeforeducationpolicy.org/a-brief-history-of-english-language-learners-in-arkansas/</w:t>
        </w:r>
      </w:hyperlink>
    </w:p>
    <w:p w14:paraId="169B7F0A" w14:textId="77777777" w:rsidR="002D193C" w:rsidRPr="00E33192" w:rsidRDefault="002D193C" w:rsidP="002D193C">
      <w:pPr>
        <w:ind w:left="720" w:hanging="720"/>
        <w:contextualSpacing/>
        <w:jc w:val="left"/>
        <w:rPr>
          <w:rFonts w:ascii="MS Reference Sans Serif" w:hAnsi="MS Reference Sans Serif"/>
          <w:sz w:val="22"/>
        </w:rPr>
      </w:pPr>
    </w:p>
    <w:p w14:paraId="6665676A" w14:textId="0DB2C36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O’Hara, S., &amp; Pritchard, R. H. (2008). Meeting the challenge of diversity: Professional development for teacher educators. </w:t>
      </w:r>
      <w:r w:rsidRPr="00E33192">
        <w:rPr>
          <w:rFonts w:ascii="MS Reference Sans Serif" w:hAnsi="MS Reference Sans Serif"/>
          <w:i/>
          <w:sz w:val="22"/>
        </w:rPr>
        <w:t>Teacher Education Quarterly</w:t>
      </w:r>
      <w:r w:rsidRPr="00214076">
        <w:rPr>
          <w:rFonts w:ascii="MS Reference Sans Serif" w:hAnsi="MS Reference Sans Serif"/>
          <w:iCs/>
          <w:sz w:val="22"/>
        </w:rPr>
        <w:t>,</w:t>
      </w:r>
      <w:r w:rsidRPr="00E33192">
        <w:rPr>
          <w:rFonts w:ascii="MS Reference Sans Serif" w:hAnsi="MS Reference Sans Serif"/>
          <w:i/>
          <w:sz w:val="22"/>
        </w:rPr>
        <w:t xml:space="preserve"> 35</w:t>
      </w:r>
      <w:r w:rsidRPr="00E33192">
        <w:rPr>
          <w:rFonts w:ascii="MS Reference Sans Serif" w:hAnsi="MS Reference Sans Serif"/>
          <w:sz w:val="22"/>
        </w:rPr>
        <w:t>(1), 43</w:t>
      </w:r>
      <w:r w:rsidR="00150194">
        <w:rPr>
          <w:rFonts w:ascii="MS Reference Sans Serif" w:hAnsi="MS Reference Sans Serif"/>
          <w:sz w:val="22"/>
        </w:rPr>
        <w:t>–</w:t>
      </w:r>
      <w:r w:rsidRPr="00E33192">
        <w:rPr>
          <w:rFonts w:ascii="MS Reference Sans Serif" w:hAnsi="MS Reference Sans Serif"/>
          <w:sz w:val="22"/>
        </w:rPr>
        <w:t>61.</w:t>
      </w:r>
    </w:p>
    <w:p w14:paraId="5B3D43F8" w14:textId="77777777" w:rsidR="002D193C" w:rsidRPr="00E33192" w:rsidRDefault="002D193C" w:rsidP="002D193C">
      <w:pPr>
        <w:ind w:left="720" w:hanging="720"/>
        <w:contextualSpacing/>
        <w:jc w:val="left"/>
        <w:rPr>
          <w:rFonts w:ascii="MS Reference Sans Serif" w:hAnsi="MS Reference Sans Serif"/>
          <w:sz w:val="22"/>
        </w:rPr>
      </w:pPr>
    </w:p>
    <w:p w14:paraId="5865619A"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Organization for Economic Cooperation and Development [OECD] (2005). </w:t>
      </w:r>
      <w:r w:rsidRPr="00E33192">
        <w:rPr>
          <w:rFonts w:ascii="MS Reference Sans Serif" w:hAnsi="MS Reference Sans Serif"/>
          <w:i/>
          <w:sz w:val="22"/>
        </w:rPr>
        <w:t>Teachers matter: Attracting, developing and retaining effective teachers</w:t>
      </w:r>
      <w:r w:rsidRPr="00E33192">
        <w:rPr>
          <w:rFonts w:ascii="MS Reference Sans Serif" w:hAnsi="MS Reference Sans Serif"/>
          <w:sz w:val="22"/>
        </w:rPr>
        <w:t>. OECD.</w:t>
      </w:r>
    </w:p>
    <w:p w14:paraId="445E28FC" w14:textId="77777777" w:rsidR="002D193C" w:rsidRPr="00E33192" w:rsidRDefault="002D193C" w:rsidP="002D193C">
      <w:pPr>
        <w:ind w:left="720" w:hanging="720"/>
        <w:contextualSpacing/>
        <w:jc w:val="left"/>
        <w:rPr>
          <w:rFonts w:ascii="MS Reference Sans Serif" w:hAnsi="MS Reference Sans Serif"/>
          <w:sz w:val="22"/>
        </w:rPr>
      </w:pPr>
    </w:p>
    <w:p w14:paraId="6B5735CB" w14:textId="77777777" w:rsidR="002D193C"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lastRenderedPageBreak/>
        <w:t xml:space="preserve">Patten, M. L. (2000). </w:t>
      </w:r>
      <w:r w:rsidRPr="00E33192">
        <w:rPr>
          <w:rFonts w:ascii="MS Reference Sans Serif" w:hAnsi="MS Reference Sans Serif"/>
          <w:i/>
          <w:sz w:val="22"/>
        </w:rPr>
        <w:t xml:space="preserve">Understanding research methods: An overview of the essentials </w:t>
      </w:r>
      <w:r w:rsidRPr="00E33192">
        <w:rPr>
          <w:rFonts w:ascii="MS Reference Sans Serif" w:hAnsi="MS Reference Sans Serif"/>
          <w:sz w:val="22"/>
        </w:rPr>
        <w:t xml:space="preserve">(2nd ed.). </w:t>
      </w:r>
      <w:proofErr w:type="spellStart"/>
      <w:r w:rsidRPr="00E33192">
        <w:rPr>
          <w:rFonts w:ascii="MS Reference Sans Serif" w:hAnsi="MS Reference Sans Serif"/>
          <w:sz w:val="22"/>
        </w:rPr>
        <w:t>Pyrczak</w:t>
      </w:r>
      <w:proofErr w:type="spellEnd"/>
      <w:r w:rsidRPr="00E33192">
        <w:rPr>
          <w:rFonts w:ascii="MS Reference Sans Serif" w:hAnsi="MS Reference Sans Serif"/>
          <w:sz w:val="22"/>
        </w:rPr>
        <w:t xml:space="preserve"> Pub.</w:t>
      </w:r>
    </w:p>
    <w:p w14:paraId="382D0C91" w14:textId="77777777" w:rsidR="002A59DE" w:rsidRDefault="002A59DE" w:rsidP="002D193C">
      <w:pPr>
        <w:ind w:left="720" w:hanging="720"/>
        <w:contextualSpacing/>
        <w:jc w:val="left"/>
        <w:rPr>
          <w:rFonts w:ascii="MS Reference Sans Serif" w:hAnsi="MS Reference Sans Serif"/>
          <w:sz w:val="22"/>
        </w:rPr>
      </w:pPr>
    </w:p>
    <w:p w14:paraId="6E8FE081" w14:textId="58CE62FC" w:rsidR="002A59DE" w:rsidRDefault="002A59DE" w:rsidP="002D193C">
      <w:pPr>
        <w:ind w:left="720" w:hanging="720"/>
        <w:contextualSpacing/>
        <w:jc w:val="left"/>
        <w:rPr>
          <w:rFonts w:ascii="MS Reference Sans Serif" w:hAnsi="MS Reference Sans Serif"/>
          <w:sz w:val="22"/>
        </w:rPr>
      </w:pPr>
      <w:r>
        <w:rPr>
          <w:rFonts w:ascii="MS Reference Sans Serif" w:hAnsi="MS Reference Sans Serif"/>
          <w:sz w:val="22"/>
        </w:rPr>
        <w:t xml:space="preserve">Penner-Williams, J., Diaz, E., </w:t>
      </w:r>
      <w:r w:rsidR="000C0058">
        <w:rPr>
          <w:rFonts w:ascii="MS Reference Sans Serif" w:hAnsi="MS Reference Sans Serif"/>
          <w:sz w:val="22"/>
        </w:rPr>
        <w:t xml:space="preserve">&amp; </w:t>
      </w:r>
      <w:r>
        <w:rPr>
          <w:rFonts w:ascii="MS Reference Sans Serif" w:hAnsi="MS Reference Sans Serif"/>
          <w:sz w:val="22"/>
        </w:rPr>
        <w:t xml:space="preserve">Gonzales Worthen, D. (2019). Sustainability of teacher growth from professional development in culturally and linguistically responsive instructional practices. </w:t>
      </w:r>
      <w:r>
        <w:rPr>
          <w:rFonts w:ascii="MS Reference Sans Serif" w:hAnsi="MS Reference Sans Serif"/>
          <w:i/>
          <w:sz w:val="22"/>
        </w:rPr>
        <w:t>Teaching and Teacher Education</w:t>
      </w:r>
      <w:r w:rsidR="00EB19A6">
        <w:rPr>
          <w:rFonts w:ascii="MS Reference Sans Serif" w:hAnsi="MS Reference Sans Serif"/>
          <w:iCs/>
          <w:sz w:val="22"/>
        </w:rPr>
        <w:t>,</w:t>
      </w:r>
      <w:r>
        <w:rPr>
          <w:rFonts w:ascii="MS Reference Sans Serif" w:hAnsi="MS Reference Sans Serif"/>
          <w:i/>
          <w:sz w:val="22"/>
        </w:rPr>
        <w:t xml:space="preserve"> 86</w:t>
      </w:r>
      <w:r w:rsidRPr="00DF4EA1">
        <w:rPr>
          <w:rFonts w:ascii="MS Reference Sans Serif" w:hAnsi="MS Reference Sans Serif"/>
          <w:iCs/>
          <w:sz w:val="22"/>
        </w:rPr>
        <w:t>,</w:t>
      </w:r>
      <w:r>
        <w:rPr>
          <w:rFonts w:ascii="MS Reference Sans Serif" w:hAnsi="MS Reference Sans Serif"/>
          <w:i/>
          <w:sz w:val="22"/>
        </w:rPr>
        <w:t xml:space="preserve"> </w:t>
      </w:r>
      <w:r>
        <w:rPr>
          <w:rFonts w:ascii="MS Reference Sans Serif" w:hAnsi="MS Reference Sans Serif"/>
          <w:sz w:val="22"/>
        </w:rPr>
        <w:t>1</w:t>
      </w:r>
      <w:r w:rsidR="00150194">
        <w:rPr>
          <w:rFonts w:ascii="MS Reference Sans Serif" w:hAnsi="MS Reference Sans Serif"/>
          <w:sz w:val="22"/>
        </w:rPr>
        <w:t>–</w:t>
      </w:r>
      <w:r w:rsidR="005032D5">
        <w:rPr>
          <w:rFonts w:ascii="MS Reference Sans Serif" w:hAnsi="MS Reference Sans Serif"/>
          <w:sz w:val="22"/>
        </w:rPr>
        <w:t>13</w:t>
      </w:r>
      <w:r>
        <w:rPr>
          <w:rFonts w:ascii="MS Reference Sans Serif" w:hAnsi="MS Reference Sans Serif"/>
          <w:sz w:val="22"/>
        </w:rPr>
        <w:t>.</w:t>
      </w:r>
    </w:p>
    <w:p w14:paraId="43531006" w14:textId="49EFA033" w:rsidR="002A59DE" w:rsidRDefault="002A59DE" w:rsidP="002D193C">
      <w:pPr>
        <w:ind w:left="720" w:hanging="720"/>
        <w:contextualSpacing/>
        <w:jc w:val="left"/>
        <w:rPr>
          <w:rFonts w:ascii="MS Reference Sans Serif" w:hAnsi="MS Reference Sans Serif"/>
          <w:sz w:val="22"/>
        </w:rPr>
      </w:pPr>
    </w:p>
    <w:p w14:paraId="0BB79C51" w14:textId="44F47908" w:rsidR="002D193C" w:rsidRPr="00797F06" w:rsidRDefault="002D193C" w:rsidP="002D193C">
      <w:pPr>
        <w:ind w:left="720" w:hanging="720"/>
        <w:contextualSpacing/>
        <w:jc w:val="left"/>
        <w:rPr>
          <w:rFonts w:ascii="MS Reference Sans Serif" w:hAnsi="MS Reference Sans Serif"/>
          <w:sz w:val="22"/>
        </w:rPr>
      </w:pPr>
      <w:r w:rsidRPr="00797F06">
        <w:rPr>
          <w:rFonts w:ascii="MS Reference Sans Serif" w:hAnsi="MS Reference Sans Serif"/>
          <w:sz w:val="22"/>
        </w:rPr>
        <w:t>Podolsky, A., Kini, T., Bishop, J., &amp; Darling-Hammond, L. (2017). Sticky schools: How to find and keep teachers in the classroom.</w:t>
      </w:r>
      <w:r w:rsidRPr="00797F06">
        <w:rPr>
          <w:rFonts w:ascii="MS Reference Sans Serif" w:hAnsi="MS Reference Sans Serif"/>
          <w:i/>
          <w:iCs/>
          <w:sz w:val="22"/>
        </w:rPr>
        <w:t xml:space="preserve"> Phi Delta </w:t>
      </w:r>
      <w:proofErr w:type="spellStart"/>
      <w:r w:rsidRPr="00797F06">
        <w:rPr>
          <w:rFonts w:ascii="MS Reference Sans Serif" w:hAnsi="MS Reference Sans Serif"/>
          <w:i/>
          <w:iCs/>
          <w:sz w:val="22"/>
        </w:rPr>
        <w:t>Kappan</w:t>
      </w:r>
      <w:proofErr w:type="spellEnd"/>
      <w:r w:rsidRPr="00920E13">
        <w:rPr>
          <w:rFonts w:ascii="MS Reference Sans Serif" w:hAnsi="MS Reference Sans Serif"/>
          <w:sz w:val="22"/>
        </w:rPr>
        <w:t>,</w:t>
      </w:r>
      <w:r w:rsidRPr="00797F06">
        <w:rPr>
          <w:rFonts w:ascii="MS Reference Sans Serif" w:hAnsi="MS Reference Sans Serif"/>
          <w:i/>
          <w:iCs/>
          <w:sz w:val="22"/>
        </w:rPr>
        <w:t xml:space="preserve"> 98</w:t>
      </w:r>
      <w:r w:rsidRPr="00797F06">
        <w:rPr>
          <w:rFonts w:ascii="MS Reference Sans Serif" w:hAnsi="MS Reference Sans Serif"/>
          <w:sz w:val="22"/>
        </w:rPr>
        <w:t>(8), 19</w:t>
      </w:r>
      <w:r w:rsidR="005549F9">
        <w:rPr>
          <w:rFonts w:ascii="MS Reference Sans Serif" w:hAnsi="MS Reference Sans Serif"/>
          <w:sz w:val="22"/>
        </w:rPr>
        <w:t>–25</w:t>
      </w:r>
      <w:r w:rsidRPr="00797F06">
        <w:rPr>
          <w:rFonts w:ascii="MS Reference Sans Serif" w:hAnsi="MS Reference Sans Serif"/>
          <w:sz w:val="22"/>
        </w:rPr>
        <w:t xml:space="preserve">. </w:t>
      </w:r>
    </w:p>
    <w:p w14:paraId="1DF494BD" w14:textId="77777777" w:rsidR="002D193C" w:rsidRPr="00E33192" w:rsidRDefault="002D193C" w:rsidP="002D193C">
      <w:pPr>
        <w:ind w:left="720" w:hanging="720"/>
        <w:contextualSpacing/>
        <w:jc w:val="left"/>
        <w:rPr>
          <w:rFonts w:ascii="MS Reference Sans Serif" w:hAnsi="MS Reference Sans Serif"/>
          <w:sz w:val="22"/>
        </w:rPr>
      </w:pPr>
    </w:p>
    <w:p w14:paraId="4AFACACF" w14:textId="77777777" w:rsidR="002D193C" w:rsidRPr="00E33192" w:rsidRDefault="002D193C" w:rsidP="002D193C">
      <w:pPr>
        <w:ind w:left="720" w:hanging="720"/>
        <w:contextualSpacing/>
        <w:jc w:val="left"/>
        <w:rPr>
          <w:rFonts w:ascii="MS Reference Sans Serif" w:hAnsi="MS Reference Sans Serif"/>
          <w:sz w:val="22"/>
        </w:rPr>
      </w:pPr>
      <w:proofErr w:type="spellStart"/>
      <w:r w:rsidRPr="00E33192">
        <w:rPr>
          <w:rFonts w:ascii="MS Reference Sans Serif" w:hAnsi="MS Reference Sans Serif"/>
          <w:sz w:val="22"/>
        </w:rPr>
        <w:t>Rebora</w:t>
      </w:r>
      <w:proofErr w:type="spellEnd"/>
      <w:r w:rsidRPr="00E33192">
        <w:rPr>
          <w:rFonts w:ascii="MS Reference Sans Serif" w:hAnsi="MS Reference Sans Serif"/>
          <w:sz w:val="22"/>
        </w:rPr>
        <w:t xml:space="preserve">, A. (2019). Expanding on coaching’s potential. </w:t>
      </w:r>
      <w:r w:rsidRPr="00E33192">
        <w:rPr>
          <w:rFonts w:ascii="MS Reference Sans Serif" w:hAnsi="MS Reference Sans Serif"/>
          <w:i/>
          <w:sz w:val="22"/>
        </w:rPr>
        <w:t>Educational Leadership</w:t>
      </w:r>
      <w:r w:rsidRPr="00000594">
        <w:rPr>
          <w:rFonts w:ascii="MS Reference Sans Serif" w:hAnsi="MS Reference Sans Serif"/>
          <w:iCs/>
          <w:sz w:val="22"/>
        </w:rPr>
        <w:t>,</w:t>
      </w:r>
      <w:r w:rsidRPr="00E33192">
        <w:rPr>
          <w:rFonts w:ascii="MS Reference Sans Serif" w:hAnsi="MS Reference Sans Serif"/>
          <w:i/>
          <w:sz w:val="22"/>
        </w:rPr>
        <w:t xml:space="preserve"> 77</w:t>
      </w:r>
      <w:r w:rsidRPr="00E33192">
        <w:rPr>
          <w:rFonts w:ascii="MS Reference Sans Serif" w:hAnsi="MS Reference Sans Serif"/>
          <w:sz w:val="22"/>
        </w:rPr>
        <w:t>(3), 9.</w:t>
      </w:r>
    </w:p>
    <w:p w14:paraId="1243513A" w14:textId="77777777" w:rsidR="002D193C" w:rsidRPr="00E33192" w:rsidRDefault="002D193C" w:rsidP="002D193C">
      <w:pPr>
        <w:ind w:left="720" w:hanging="720"/>
        <w:contextualSpacing/>
        <w:jc w:val="left"/>
        <w:rPr>
          <w:rFonts w:ascii="MS Reference Sans Serif" w:hAnsi="MS Reference Sans Serif"/>
          <w:sz w:val="22"/>
        </w:rPr>
      </w:pPr>
    </w:p>
    <w:p w14:paraId="3B8FD25F" w14:textId="377F13A3" w:rsidR="002D193C" w:rsidRPr="00E33192" w:rsidRDefault="002D193C" w:rsidP="002D193C">
      <w:pPr>
        <w:ind w:left="720" w:hanging="720"/>
        <w:contextualSpacing/>
        <w:jc w:val="left"/>
        <w:rPr>
          <w:rFonts w:ascii="MS Reference Sans Serif" w:hAnsi="MS Reference Sans Serif"/>
          <w:iCs/>
          <w:sz w:val="22"/>
        </w:rPr>
      </w:pPr>
      <w:r w:rsidRPr="00E33192">
        <w:rPr>
          <w:rFonts w:ascii="MS Reference Sans Serif" w:hAnsi="MS Reference Sans Serif"/>
          <w:iCs/>
          <w:sz w:val="22"/>
        </w:rPr>
        <w:t>Rivkin, S. G., Hanushek, E. A., &amp; Kain, J.</w:t>
      </w:r>
      <w:r w:rsidR="00316D42">
        <w:rPr>
          <w:rFonts w:ascii="MS Reference Sans Serif" w:hAnsi="MS Reference Sans Serif"/>
          <w:iCs/>
          <w:sz w:val="22"/>
        </w:rPr>
        <w:t xml:space="preserve"> </w:t>
      </w:r>
      <w:r w:rsidRPr="00E33192">
        <w:rPr>
          <w:rFonts w:ascii="MS Reference Sans Serif" w:hAnsi="MS Reference Sans Serif"/>
          <w:iCs/>
          <w:sz w:val="22"/>
        </w:rPr>
        <w:t>F.</w:t>
      </w:r>
      <w:r w:rsidR="00316D42">
        <w:rPr>
          <w:rFonts w:ascii="MS Reference Sans Serif" w:hAnsi="MS Reference Sans Serif"/>
          <w:iCs/>
          <w:sz w:val="22"/>
        </w:rPr>
        <w:t xml:space="preserve"> </w:t>
      </w:r>
      <w:r w:rsidRPr="00E33192">
        <w:rPr>
          <w:rFonts w:ascii="MS Reference Sans Serif" w:hAnsi="MS Reference Sans Serif"/>
          <w:iCs/>
          <w:sz w:val="22"/>
        </w:rPr>
        <w:t>(2005).</w:t>
      </w:r>
      <w:r w:rsidR="00316D42">
        <w:rPr>
          <w:rFonts w:ascii="MS Reference Sans Serif" w:hAnsi="MS Reference Sans Serif"/>
          <w:iCs/>
          <w:sz w:val="22"/>
        </w:rPr>
        <w:t xml:space="preserve"> </w:t>
      </w:r>
      <w:r w:rsidRPr="00E33192">
        <w:rPr>
          <w:rFonts w:ascii="MS Reference Sans Serif" w:hAnsi="MS Reference Sans Serif"/>
          <w:iCs/>
          <w:sz w:val="22"/>
        </w:rPr>
        <w:t xml:space="preserve">Teachers, schools, and academic achievement. </w:t>
      </w:r>
      <w:proofErr w:type="spellStart"/>
      <w:r w:rsidRPr="00E33192">
        <w:rPr>
          <w:rFonts w:ascii="MS Reference Sans Serif" w:hAnsi="MS Reference Sans Serif"/>
          <w:i/>
          <w:sz w:val="22"/>
        </w:rPr>
        <w:t>Econometrica</w:t>
      </w:r>
      <w:proofErr w:type="spellEnd"/>
      <w:r w:rsidRPr="002713FD">
        <w:rPr>
          <w:rFonts w:ascii="MS Reference Sans Serif" w:hAnsi="MS Reference Sans Serif"/>
          <w:iCs/>
          <w:sz w:val="22"/>
        </w:rPr>
        <w:t>,</w:t>
      </w:r>
      <w:r w:rsidRPr="00E33192">
        <w:rPr>
          <w:rFonts w:ascii="MS Reference Sans Serif" w:hAnsi="MS Reference Sans Serif"/>
          <w:i/>
          <w:sz w:val="22"/>
        </w:rPr>
        <w:t xml:space="preserve"> 73</w:t>
      </w:r>
      <w:r w:rsidRPr="00E33192">
        <w:rPr>
          <w:rFonts w:ascii="MS Reference Sans Serif" w:hAnsi="MS Reference Sans Serif"/>
          <w:iCs/>
          <w:sz w:val="22"/>
        </w:rPr>
        <w:t>(2), 417</w:t>
      </w:r>
      <w:r w:rsidR="00150194">
        <w:rPr>
          <w:rFonts w:ascii="MS Reference Sans Serif" w:hAnsi="MS Reference Sans Serif"/>
          <w:iCs/>
          <w:sz w:val="22"/>
        </w:rPr>
        <w:t>–</w:t>
      </w:r>
      <w:r w:rsidRPr="00E33192">
        <w:rPr>
          <w:rFonts w:ascii="MS Reference Sans Serif" w:hAnsi="MS Reference Sans Serif"/>
          <w:iCs/>
          <w:sz w:val="22"/>
        </w:rPr>
        <w:t>458.</w:t>
      </w:r>
      <w:r w:rsidRPr="00E33192">
        <w:rPr>
          <w:rFonts w:ascii="MS Reference Sans Serif" w:hAnsi="MS Reference Sans Serif"/>
          <w:sz w:val="22"/>
        </w:rPr>
        <w:t xml:space="preserve"> </w:t>
      </w:r>
      <w:hyperlink r:id="rId25" w:history="1">
        <w:r w:rsidRPr="00E33192">
          <w:rPr>
            <w:rStyle w:val="Hyperlink"/>
            <w:rFonts w:ascii="MS Reference Sans Serif" w:hAnsi="MS Reference Sans Serif"/>
            <w:sz w:val="22"/>
          </w:rPr>
          <w:t>https://doi.org/</w:t>
        </w:r>
        <w:r w:rsidRPr="00E33192">
          <w:rPr>
            <w:rStyle w:val="Hyperlink"/>
            <w:rFonts w:ascii="MS Reference Sans Serif" w:hAnsi="MS Reference Sans Serif"/>
            <w:iCs/>
            <w:sz w:val="22"/>
          </w:rPr>
          <w:t>10.1111/j.1468-0262.2005.00584.x</w:t>
        </w:r>
      </w:hyperlink>
    </w:p>
    <w:p w14:paraId="1786581D" w14:textId="77777777" w:rsidR="002D193C" w:rsidRPr="00E33192" w:rsidRDefault="002D193C" w:rsidP="002D193C">
      <w:pPr>
        <w:ind w:left="720" w:hanging="720"/>
        <w:contextualSpacing/>
        <w:jc w:val="left"/>
        <w:rPr>
          <w:rFonts w:ascii="MS Reference Sans Serif" w:hAnsi="MS Reference Sans Serif"/>
          <w:iCs/>
          <w:sz w:val="22"/>
        </w:rPr>
      </w:pPr>
    </w:p>
    <w:p w14:paraId="17EEFC99" w14:textId="0E390B86"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Siwatu, K. O. (2007). Preservice teachers’ culturally responsive teaching self-efficacy and outcome expectancy beliefs. </w:t>
      </w:r>
      <w:r w:rsidRPr="00E33192">
        <w:rPr>
          <w:rFonts w:ascii="MS Reference Sans Serif" w:hAnsi="MS Reference Sans Serif"/>
          <w:i/>
          <w:sz w:val="22"/>
        </w:rPr>
        <w:t>Teaching and Teacher Education</w:t>
      </w:r>
      <w:r w:rsidRPr="004A7067">
        <w:rPr>
          <w:rFonts w:ascii="MS Reference Sans Serif" w:hAnsi="MS Reference Sans Serif"/>
          <w:iCs/>
          <w:sz w:val="22"/>
        </w:rPr>
        <w:t>,</w:t>
      </w:r>
      <w:r w:rsidRPr="00E33192">
        <w:rPr>
          <w:rFonts w:ascii="MS Reference Sans Serif" w:hAnsi="MS Reference Sans Serif"/>
          <w:i/>
          <w:sz w:val="22"/>
        </w:rPr>
        <w:t xml:space="preserve"> 23</w:t>
      </w:r>
      <w:r w:rsidRPr="00E33192">
        <w:rPr>
          <w:rFonts w:ascii="MS Reference Sans Serif" w:hAnsi="MS Reference Sans Serif"/>
          <w:sz w:val="22"/>
        </w:rPr>
        <w:t>(7), 1086</w:t>
      </w:r>
      <w:r w:rsidR="00150194">
        <w:rPr>
          <w:rFonts w:ascii="MS Reference Sans Serif" w:hAnsi="MS Reference Sans Serif"/>
          <w:sz w:val="22"/>
        </w:rPr>
        <w:t>–</w:t>
      </w:r>
      <w:r w:rsidRPr="00E33192">
        <w:rPr>
          <w:rFonts w:ascii="MS Reference Sans Serif" w:hAnsi="MS Reference Sans Serif"/>
          <w:sz w:val="22"/>
        </w:rPr>
        <w:t xml:space="preserve">1101. </w:t>
      </w:r>
      <w:hyperlink r:id="rId26" w:history="1">
        <w:r w:rsidRPr="00E33192">
          <w:rPr>
            <w:rStyle w:val="Hyperlink"/>
            <w:rFonts w:ascii="MS Reference Sans Serif" w:hAnsi="MS Reference Sans Serif"/>
            <w:sz w:val="22"/>
          </w:rPr>
          <w:t>https://doi.org/10.1016/j.tate.2006.07.011</w:t>
        </w:r>
      </w:hyperlink>
    </w:p>
    <w:p w14:paraId="465D2591" w14:textId="77777777" w:rsidR="002D193C" w:rsidRPr="00E33192" w:rsidRDefault="002D193C" w:rsidP="002D193C">
      <w:pPr>
        <w:ind w:left="720" w:hanging="720"/>
        <w:contextualSpacing/>
        <w:jc w:val="left"/>
        <w:rPr>
          <w:rFonts w:ascii="MS Reference Sans Serif" w:hAnsi="MS Reference Sans Serif"/>
          <w:sz w:val="22"/>
        </w:rPr>
      </w:pPr>
    </w:p>
    <w:p w14:paraId="7E76F70D" w14:textId="4F498A13"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Sleeter, C. (2012). Confronting the marginalization of culturally responsive pedagogy. </w:t>
      </w:r>
      <w:r w:rsidRPr="00E33192">
        <w:rPr>
          <w:rFonts w:ascii="MS Reference Sans Serif" w:hAnsi="MS Reference Sans Serif"/>
          <w:i/>
          <w:sz w:val="22"/>
        </w:rPr>
        <w:t>Urban Education</w:t>
      </w:r>
      <w:r w:rsidRPr="00913B09">
        <w:rPr>
          <w:rFonts w:ascii="MS Reference Sans Serif" w:hAnsi="MS Reference Sans Serif"/>
          <w:iCs/>
          <w:sz w:val="22"/>
        </w:rPr>
        <w:t>,</w:t>
      </w:r>
      <w:r w:rsidRPr="00E33192">
        <w:rPr>
          <w:rFonts w:ascii="MS Reference Sans Serif" w:hAnsi="MS Reference Sans Serif"/>
          <w:i/>
          <w:sz w:val="22"/>
        </w:rPr>
        <w:t xml:space="preserve"> 47</w:t>
      </w:r>
      <w:r w:rsidRPr="00E33192">
        <w:rPr>
          <w:rFonts w:ascii="MS Reference Sans Serif" w:hAnsi="MS Reference Sans Serif"/>
          <w:sz w:val="22"/>
        </w:rPr>
        <w:t>(3), 562</w:t>
      </w:r>
      <w:r w:rsidR="00150194">
        <w:rPr>
          <w:rFonts w:ascii="MS Reference Sans Serif" w:hAnsi="MS Reference Sans Serif"/>
          <w:sz w:val="22"/>
        </w:rPr>
        <w:t>–</w:t>
      </w:r>
      <w:r w:rsidRPr="00E33192">
        <w:rPr>
          <w:rFonts w:ascii="MS Reference Sans Serif" w:hAnsi="MS Reference Sans Serif"/>
          <w:sz w:val="22"/>
        </w:rPr>
        <w:t xml:space="preserve">584. </w:t>
      </w:r>
      <w:hyperlink r:id="rId27" w:history="1">
        <w:r w:rsidRPr="00E33192">
          <w:rPr>
            <w:rStyle w:val="Hyperlink"/>
            <w:rFonts w:ascii="MS Reference Sans Serif" w:hAnsi="MS Reference Sans Serif"/>
            <w:sz w:val="22"/>
          </w:rPr>
          <w:t>https://doi.org/10.1177/0042085911431472</w:t>
        </w:r>
      </w:hyperlink>
    </w:p>
    <w:p w14:paraId="34F0A396" w14:textId="77777777" w:rsidR="002D193C" w:rsidRPr="00E33192" w:rsidRDefault="002D193C" w:rsidP="002D193C">
      <w:pPr>
        <w:ind w:left="720" w:hanging="720"/>
        <w:contextualSpacing/>
        <w:jc w:val="left"/>
        <w:rPr>
          <w:rFonts w:ascii="MS Reference Sans Serif" w:hAnsi="MS Reference Sans Serif"/>
          <w:sz w:val="22"/>
        </w:rPr>
      </w:pPr>
    </w:p>
    <w:p w14:paraId="0EC080B2" w14:textId="47DF5810"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Soffer, T., &amp; Nachmias, R. (2018). Effectiveness of learning in online academic courses compared with face</w:t>
      </w:r>
      <w:r w:rsidRPr="00E33192">
        <w:rPr>
          <w:rFonts w:ascii="Cambria Math" w:hAnsi="Cambria Math" w:cs="Cambria Math"/>
          <w:sz w:val="22"/>
        </w:rPr>
        <w:t>‐</w:t>
      </w:r>
      <w:r w:rsidRPr="00E33192">
        <w:rPr>
          <w:rFonts w:ascii="MS Reference Sans Serif" w:hAnsi="MS Reference Sans Serif"/>
          <w:sz w:val="22"/>
        </w:rPr>
        <w:t>to</w:t>
      </w:r>
      <w:r w:rsidRPr="00E33192">
        <w:rPr>
          <w:rFonts w:ascii="Cambria Math" w:hAnsi="Cambria Math" w:cs="Cambria Math"/>
          <w:sz w:val="22"/>
        </w:rPr>
        <w:t>‐</w:t>
      </w:r>
      <w:r w:rsidRPr="00E33192">
        <w:rPr>
          <w:rFonts w:ascii="MS Reference Sans Serif" w:hAnsi="MS Reference Sans Serif"/>
          <w:sz w:val="22"/>
        </w:rPr>
        <w:t>face courses in higher education.</w:t>
      </w:r>
      <w:r w:rsidRPr="00E33192">
        <w:rPr>
          <w:rFonts w:ascii="MS Reference Sans Serif" w:hAnsi="MS Reference Sans Serif"/>
          <w:i/>
          <w:iCs/>
          <w:sz w:val="22"/>
        </w:rPr>
        <w:t xml:space="preserve"> Journal of Computer Assisted Learning</w:t>
      </w:r>
      <w:r w:rsidRPr="00934F42">
        <w:rPr>
          <w:rFonts w:ascii="MS Reference Sans Serif" w:hAnsi="MS Reference Sans Serif"/>
          <w:sz w:val="22"/>
        </w:rPr>
        <w:t>,</w:t>
      </w:r>
      <w:r w:rsidRPr="00E33192">
        <w:rPr>
          <w:rFonts w:ascii="MS Reference Sans Serif" w:hAnsi="MS Reference Sans Serif"/>
          <w:i/>
          <w:iCs/>
          <w:sz w:val="22"/>
        </w:rPr>
        <w:t xml:space="preserve"> 34</w:t>
      </w:r>
      <w:r w:rsidRPr="00E33192">
        <w:rPr>
          <w:rFonts w:ascii="MS Reference Sans Serif" w:hAnsi="MS Reference Sans Serif"/>
          <w:sz w:val="22"/>
        </w:rPr>
        <w:t>(5), 534</w:t>
      </w:r>
      <w:r w:rsidR="00150194">
        <w:rPr>
          <w:rFonts w:ascii="MS Reference Sans Serif" w:hAnsi="MS Reference Sans Serif"/>
          <w:sz w:val="22"/>
        </w:rPr>
        <w:t>–</w:t>
      </w:r>
      <w:r w:rsidRPr="00E33192">
        <w:rPr>
          <w:rFonts w:ascii="MS Reference Sans Serif" w:hAnsi="MS Reference Sans Serif"/>
          <w:sz w:val="22"/>
        </w:rPr>
        <w:t xml:space="preserve">543. </w:t>
      </w:r>
      <w:hyperlink r:id="rId28" w:history="1">
        <w:r w:rsidRPr="00E33192">
          <w:rPr>
            <w:rStyle w:val="Hyperlink"/>
            <w:rFonts w:ascii="MS Reference Sans Serif" w:hAnsi="MS Reference Sans Serif"/>
            <w:sz w:val="22"/>
          </w:rPr>
          <w:t>https://doi.org/10.1111/jcal.12258</w:t>
        </w:r>
      </w:hyperlink>
    </w:p>
    <w:p w14:paraId="0A15DFEB" w14:textId="77777777" w:rsidR="002D193C" w:rsidRPr="00E33192" w:rsidRDefault="002D193C" w:rsidP="002D193C">
      <w:pPr>
        <w:ind w:left="720" w:hanging="720"/>
        <w:contextualSpacing/>
        <w:jc w:val="left"/>
        <w:rPr>
          <w:rFonts w:ascii="MS Reference Sans Serif" w:hAnsi="MS Reference Sans Serif"/>
          <w:sz w:val="22"/>
        </w:rPr>
      </w:pPr>
    </w:p>
    <w:p w14:paraId="043BF724" w14:textId="2E74A6CC"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Sun, A., &amp; Chen, X. (2016). Online education and its effective practice: A research review. </w:t>
      </w:r>
      <w:r w:rsidRPr="00E33192">
        <w:rPr>
          <w:rFonts w:ascii="MS Reference Sans Serif" w:hAnsi="MS Reference Sans Serif"/>
          <w:i/>
          <w:sz w:val="22"/>
        </w:rPr>
        <w:t>Journal of Information Technology Education: Research</w:t>
      </w:r>
      <w:r w:rsidRPr="00447EE9">
        <w:rPr>
          <w:rFonts w:ascii="MS Reference Sans Serif" w:hAnsi="MS Reference Sans Serif"/>
          <w:iCs/>
          <w:sz w:val="22"/>
        </w:rPr>
        <w:t>,</w:t>
      </w:r>
      <w:r w:rsidRPr="00E33192">
        <w:rPr>
          <w:rFonts w:ascii="MS Reference Sans Serif" w:hAnsi="MS Reference Sans Serif"/>
          <w:i/>
          <w:sz w:val="22"/>
        </w:rPr>
        <w:t xml:space="preserve"> 15</w:t>
      </w:r>
      <w:r w:rsidRPr="00E33192">
        <w:rPr>
          <w:rFonts w:ascii="MS Reference Sans Serif" w:hAnsi="MS Reference Sans Serif"/>
          <w:sz w:val="22"/>
        </w:rPr>
        <w:t>, 157</w:t>
      </w:r>
      <w:r w:rsidR="00150194">
        <w:rPr>
          <w:rFonts w:ascii="MS Reference Sans Serif" w:hAnsi="MS Reference Sans Serif"/>
          <w:sz w:val="22"/>
        </w:rPr>
        <w:t>–</w:t>
      </w:r>
      <w:r w:rsidRPr="00E33192">
        <w:rPr>
          <w:rFonts w:ascii="MS Reference Sans Serif" w:hAnsi="MS Reference Sans Serif"/>
          <w:sz w:val="22"/>
        </w:rPr>
        <w:t xml:space="preserve">190. </w:t>
      </w:r>
      <w:hyperlink r:id="rId29" w:history="1">
        <w:r w:rsidRPr="00E33192">
          <w:rPr>
            <w:rStyle w:val="Hyperlink"/>
            <w:rFonts w:ascii="MS Reference Sans Serif" w:hAnsi="MS Reference Sans Serif"/>
            <w:sz w:val="22"/>
          </w:rPr>
          <w:t>http://www.informingscience.org/Publications/3502</w:t>
        </w:r>
      </w:hyperlink>
    </w:p>
    <w:p w14:paraId="0B84DF79" w14:textId="77777777" w:rsidR="002D193C" w:rsidRPr="00E33192" w:rsidRDefault="002D193C" w:rsidP="002D193C">
      <w:pPr>
        <w:ind w:left="720" w:hanging="720"/>
        <w:contextualSpacing/>
        <w:jc w:val="left"/>
        <w:rPr>
          <w:rFonts w:ascii="MS Reference Sans Serif" w:hAnsi="MS Reference Sans Serif"/>
          <w:sz w:val="22"/>
        </w:rPr>
      </w:pPr>
    </w:p>
    <w:p w14:paraId="037DCBB3" w14:textId="77777777" w:rsidR="002D193C" w:rsidRPr="00E33192" w:rsidRDefault="002D193C" w:rsidP="002D193C">
      <w:pPr>
        <w:ind w:left="720" w:hanging="720"/>
        <w:contextualSpacing/>
        <w:jc w:val="left"/>
        <w:rPr>
          <w:rStyle w:val="Hyperlink"/>
          <w:rFonts w:ascii="MS Reference Sans Serif" w:hAnsi="MS Reference Sans Serif"/>
          <w:sz w:val="22"/>
        </w:rPr>
      </w:pPr>
      <w:proofErr w:type="spellStart"/>
      <w:r w:rsidRPr="00E33192">
        <w:rPr>
          <w:rFonts w:ascii="MS Reference Sans Serif" w:hAnsi="MS Reference Sans Serif"/>
          <w:sz w:val="22"/>
        </w:rPr>
        <w:t>Sutcher</w:t>
      </w:r>
      <w:proofErr w:type="spellEnd"/>
      <w:r w:rsidRPr="00E33192">
        <w:rPr>
          <w:rFonts w:ascii="MS Reference Sans Serif" w:hAnsi="MS Reference Sans Serif"/>
          <w:sz w:val="22"/>
        </w:rPr>
        <w:t xml:space="preserve">, L., Darling-Hammond, L., &amp; Carver-Thomas, D. (2019). Understanding teacher shortages: An analysis of teacher supply and demand in the United States. </w:t>
      </w:r>
      <w:r w:rsidRPr="00E33192">
        <w:rPr>
          <w:rFonts w:ascii="MS Reference Sans Serif" w:hAnsi="MS Reference Sans Serif"/>
          <w:i/>
          <w:sz w:val="22"/>
        </w:rPr>
        <w:t>Education Policy Analysis Archives</w:t>
      </w:r>
      <w:r w:rsidRPr="00382B96">
        <w:rPr>
          <w:rFonts w:ascii="MS Reference Sans Serif" w:hAnsi="MS Reference Sans Serif"/>
          <w:iCs/>
          <w:sz w:val="22"/>
        </w:rPr>
        <w:t>,</w:t>
      </w:r>
      <w:r w:rsidRPr="00E33192">
        <w:rPr>
          <w:rFonts w:ascii="MS Reference Sans Serif" w:hAnsi="MS Reference Sans Serif"/>
          <w:i/>
          <w:sz w:val="22"/>
        </w:rPr>
        <w:t xml:space="preserve"> 27</w:t>
      </w:r>
      <w:r w:rsidRPr="00E33192">
        <w:rPr>
          <w:rFonts w:ascii="MS Reference Sans Serif" w:hAnsi="MS Reference Sans Serif"/>
          <w:sz w:val="22"/>
        </w:rPr>
        <w:t xml:space="preserve">(35). </w:t>
      </w:r>
      <w:hyperlink r:id="rId30" w:history="1">
        <w:r w:rsidRPr="00E33192">
          <w:rPr>
            <w:rStyle w:val="Hyperlink"/>
            <w:rFonts w:ascii="MS Reference Sans Serif" w:hAnsi="MS Reference Sans Serif"/>
            <w:sz w:val="22"/>
          </w:rPr>
          <w:t>http://dx.doi.org/10.14507/epaa.27.3696</w:t>
        </w:r>
      </w:hyperlink>
    </w:p>
    <w:p w14:paraId="0BFC41FC" w14:textId="77777777" w:rsidR="002D193C" w:rsidRPr="00E33192" w:rsidRDefault="002D193C" w:rsidP="002D193C">
      <w:pPr>
        <w:ind w:left="720" w:hanging="720"/>
        <w:contextualSpacing/>
        <w:jc w:val="left"/>
        <w:rPr>
          <w:rFonts w:ascii="MS Reference Sans Serif" w:hAnsi="MS Reference Sans Serif"/>
          <w:sz w:val="22"/>
        </w:rPr>
      </w:pPr>
    </w:p>
    <w:p w14:paraId="677C1D9D" w14:textId="5B822D8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Teemant, A. (2014). A mixed-methods investigation of instructional coaching for teachers of diverse learners. </w:t>
      </w:r>
      <w:r w:rsidRPr="00E33192">
        <w:rPr>
          <w:rFonts w:ascii="MS Reference Sans Serif" w:hAnsi="MS Reference Sans Serif"/>
          <w:i/>
          <w:sz w:val="22"/>
        </w:rPr>
        <w:t>Urban Education</w:t>
      </w:r>
      <w:r w:rsidRPr="00184896">
        <w:rPr>
          <w:rFonts w:ascii="MS Reference Sans Serif" w:hAnsi="MS Reference Sans Serif"/>
          <w:iCs/>
          <w:sz w:val="22"/>
        </w:rPr>
        <w:t>,</w:t>
      </w:r>
      <w:r w:rsidRPr="00E33192">
        <w:rPr>
          <w:rFonts w:ascii="MS Reference Sans Serif" w:hAnsi="MS Reference Sans Serif"/>
          <w:i/>
          <w:sz w:val="22"/>
        </w:rPr>
        <w:t xml:space="preserve"> 49</w:t>
      </w:r>
      <w:r w:rsidRPr="00E33192">
        <w:rPr>
          <w:rFonts w:ascii="MS Reference Sans Serif" w:hAnsi="MS Reference Sans Serif"/>
          <w:sz w:val="22"/>
        </w:rPr>
        <w:t>(5), 574</w:t>
      </w:r>
      <w:r w:rsidR="00150194">
        <w:rPr>
          <w:rFonts w:ascii="MS Reference Sans Serif" w:hAnsi="MS Reference Sans Serif"/>
          <w:sz w:val="22"/>
        </w:rPr>
        <w:t>–</w:t>
      </w:r>
      <w:r w:rsidRPr="00E33192">
        <w:rPr>
          <w:rFonts w:ascii="MS Reference Sans Serif" w:hAnsi="MS Reference Sans Serif"/>
          <w:sz w:val="22"/>
        </w:rPr>
        <w:t xml:space="preserve">604. </w:t>
      </w:r>
      <w:hyperlink r:id="rId31" w:history="1">
        <w:r w:rsidRPr="00E33192">
          <w:rPr>
            <w:rStyle w:val="Hyperlink"/>
            <w:rFonts w:ascii="MS Reference Sans Serif" w:hAnsi="MS Reference Sans Serif"/>
            <w:sz w:val="22"/>
          </w:rPr>
          <w:t>https://doi.org/10.1177/0042085913481362</w:t>
        </w:r>
      </w:hyperlink>
    </w:p>
    <w:p w14:paraId="1F88EB4D" w14:textId="77777777" w:rsidR="002D193C" w:rsidRPr="00E33192" w:rsidRDefault="002D193C" w:rsidP="002D193C">
      <w:pPr>
        <w:ind w:left="720" w:hanging="720"/>
        <w:contextualSpacing/>
        <w:jc w:val="left"/>
        <w:rPr>
          <w:rFonts w:ascii="MS Reference Sans Serif" w:hAnsi="MS Reference Sans Serif"/>
          <w:sz w:val="22"/>
        </w:rPr>
      </w:pPr>
    </w:p>
    <w:p w14:paraId="62B7A596" w14:textId="6AC97888" w:rsidR="002D193C" w:rsidRPr="000C0058" w:rsidRDefault="002D193C" w:rsidP="002D193C">
      <w:pPr>
        <w:ind w:left="720" w:hanging="720"/>
        <w:contextualSpacing/>
        <w:jc w:val="left"/>
        <w:rPr>
          <w:rStyle w:val="Hyperlink"/>
          <w:rFonts w:ascii="MS Reference Sans Serif" w:hAnsi="MS Reference Sans Serif"/>
          <w:color w:val="auto"/>
          <w:sz w:val="22"/>
          <w:u w:val="none"/>
        </w:rPr>
      </w:pPr>
      <w:r w:rsidRPr="000C0058">
        <w:rPr>
          <w:rStyle w:val="Hyperlink"/>
          <w:rFonts w:ascii="MS Reference Sans Serif" w:hAnsi="MS Reference Sans Serif"/>
          <w:color w:val="auto"/>
          <w:sz w:val="22"/>
          <w:u w:val="none"/>
        </w:rPr>
        <w:t xml:space="preserve">Teemant, A., Wink, J., &amp; Serena, T. (2011). Effects of coaching on teacher use of sociocultural instructional practices. </w:t>
      </w:r>
      <w:r w:rsidRPr="000C0058">
        <w:rPr>
          <w:rStyle w:val="Hyperlink"/>
          <w:rFonts w:ascii="MS Reference Sans Serif" w:hAnsi="MS Reference Sans Serif"/>
          <w:i/>
          <w:color w:val="auto"/>
          <w:sz w:val="22"/>
          <w:u w:val="none"/>
        </w:rPr>
        <w:t>Teaching and Teacher Education</w:t>
      </w:r>
      <w:r w:rsidRPr="00184896">
        <w:rPr>
          <w:rStyle w:val="Hyperlink"/>
          <w:rFonts w:ascii="MS Reference Sans Serif" w:hAnsi="MS Reference Sans Serif"/>
          <w:iCs/>
          <w:color w:val="auto"/>
          <w:sz w:val="22"/>
          <w:u w:val="none"/>
        </w:rPr>
        <w:t>,</w:t>
      </w:r>
      <w:r w:rsidRPr="000C0058">
        <w:rPr>
          <w:rStyle w:val="Hyperlink"/>
          <w:rFonts w:ascii="MS Reference Sans Serif" w:hAnsi="MS Reference Sans Serif"/>
          <w:i/>
          <w:color w:val="auto"/>
          <w:sz w:val="22"/>
          <w:u w:val="none"/>
        </w:rPr>
        <w:t xml:space="preserve"> 27</w:t>
      </w:r>
      <w:r w:rsidRPr="000C0058">
        <w:rPr>
          <w:rStyle w:val="Hyperlink"/>
          <w:rFonts w:ascii="MS Reference Sans Serif" w:hAnsi="MS Reference Sans Serif"/>
          <w:color w:val="auto"/>
          <w:sz w:val="22"/>
          <w:u w:val="none"/>
        </w:rPr>
        <w:t>(4), 683</w:t>
      </w:r>
      <w:r w:rsidR="00150194">
        <w:rPr>
          <w:rStyle w:val="Hyperlink"/>
          <w:rFonts w:ascii="MS Reference Sans Serif" w:hAnsi="MS Reference Sans Serif"/>
          <w:color w:val="auto"/>
          <w:sz w:val="22"/>
          <w:u w:val="none"/>
        </w:rPr>
        <w:t>–</w:t>
      </w:r>
      <w:r w:rsidRPr="000C0058">
        <w:rPr>
          <w:rStyle w:val="Hyperlink"/>
          <w:rFonts w:ascii="MS Reference Sans Serif" w:hAnsi="MS Reference Sans Serif"/>
          <w:color w:val="auto"/>
          <w:sz w:val="22"/>
          <w:u w:val="none"/>
        </w:rPr>
        <w:t>693.</w:t>
      </w:r>
    </w:p>
    <w:p w14:paraId="3A5869AC" w14:textId="77777777" w:rsidR="002D193C" w:rsidRPr="00E33192" w:rsidRDefault="002D193C" w:rsidP="002D193C">
      <w:pPr>
        <w:ind w:left="720" w:hanging="720"/>
        <w:contextualSpacing/>
        <w:jc w:val="left"/>
        <w:rPr>
          <w:rFonts w:ascii="MS Reference Sans Serif" w:hAnsi="MS Reference Sans Serif"/>
          <w:sz w:val="22"/>
        </w:rPr>
      </w:pPr>
    </w:p>
    <w:p w14:paraId="6CDAC0D3" w14:textId="548F0FDC" w:rsidR="002D193C" w:rsidRPr="00E33192" w:rsidRDefault="002D193C" w:rsidP="002D193C">
      <w:pPr>
        <w:ind w:left="720" w:hanging="720"/>
        <w:jc w:val="left"/>
        <w:rPr>
          <w:rFonts w:ascii="MS Reference Sans Serif" w:hAnsi="MS Reference Sans Serif"/>
          <w:sz w:val="22"/>
        </w:rPr>
      </w:pPr>
      <w:r w:rsidRPr="00E33192">
        <w:rPr>
          <w:rFonts w:ascii="MS Reference Sans Serif" w:hAnsi="MS Reference Sans Serif"/>
          <w:sz w:val="22"/>
        </w:rPr>
        <w:t>U.S. Department of Education, National Center for Education Statistics [NCES], (2019).</w:t>
      </w:r>
      <w:r w:rsidRPr="00E33192">
        <w:rPr>
          <w:rFonts w:ascii="MS Reference Sans Serif" w:hAnsi="MS Reference Sans Serif"/>
          <w:i/>
          <w:sz w:val="22"/>
        </w:rPr>
        <w:t xml:space="preserve"> The condition of education 2019.</w:t>
      </w:r>
      <w:r w:rsidRPr="00E33192">
        <w:rPr>
          <w:rFonts w:ascii="MS Reference Sans Serif" w:hAnsi="MS Reference Sans Serif"/>
          <w:sz w:val="22"/>
        </w:rPr>
        <w:t xml:space="preserve"> </w:t>
      </w:r>
      <w:r w:rsidRPr="00E33192">
        <w:rPr>
          <w:rFonts w:ascii="MS Reference Sans Serif" w:hAnsi="MS Reference Sans Serif"/>
          <w:i/>
          <w:sz w:val="22"/>
        </w:rPr>
        <w:t>English</w:t>
      </w:r>
      <w:r>
        <w:rPr>
          <w:rFonts w:ascii="MS Reference Sans Serif" w:hAnsi="MS Reference Sans Serif"/>
          <w:i/>
          <w:sz w:val="22"/>
        </w:rPr>
        <w:t xml:space="preserve"> l</w:t>
      </w:r>
      <w:r w:rsidRPr="00E33192">
        <w:rPr>
          <w:rFonts w:ascii="MS Reference Sans Serif" w:hAnsi="MS Reference Sans Serif"/>
          <w:i/>
          <w:sz w:val="22"/>
        </w:rPr>
        <w:t xml:space="preserve">anguage </w:t>
      </w:r>
      <w:r>
        <w:rPr>
          <w:rFonts w:ascii="MS Reference Sans Serif" w:hAnsi="MS Reference Sans Serif"/>
          <w:i/>
          <w:sz w:val="22"/>
        </w:rPr>
        <w:t>l</w:t>
      </w:r>
      <w:r w:rsidRPr="00E33192">
        <w:rPr>
          <w:rFonts w:ascii="MS Reference Sans Serif" w:hAnsi="MS Reference Sans Serif"/>
          <w:i/>
          <w:sz w:val="22"/>
        </w:rPr>
        <w:t xml:space="preserve">earners. Fast </w:t>
      </w:r>
      <w:r>
        <w:rPr>
          <w:rFonts w:ascii="MS Reference Sans Serif" w:hAnsi="MS Reference Sans Serif"/>
          <w:i/>
          <w:sz w:val="22"/>
        </w:rPr>
        <w:t>f</w:t>
      </w:r>
      <w:r w:rsidRPr="00E33192">
        <w:rPr>
          <w:rFonts w:ascii="MS Reference Sans Serif" w:hAnsi="MS Reference Sans Serif"/>
          <w:i/>
          <w:sz w:val="22"/>
        </w:rPr>
        <w:t xml:space="preserve">acts. </w:t>
      </w:r>
      <w:hyperlink r:id="rId32" w:history="1">
        <w:r w:rsidRPr="00AB5066">
          <w:rPr>
            <w:rStyle w:val="Hyperlink"/>
            <w:rFonts w:ascii="MS Reference Sans Serif" w:hAnsi="MS Reference Sans Serif"/>
            <w:sz w:val="22"/>
          </w:rPr>
          <w:t>https://nces.ed.gov/fastfacts/display.asp?id=96</w:t>
        </w:r>
      </w:hyperlink>
    </w:p>
    <w:p w14:paraId="38F6E891" w14:textId="77777777" w:rsidR="002B01BA" w:rsidRDefault="002B01BA" w:rsidP="002D193C">
      <w:pPr>
        <w:ind w:left="720" w:hanging="720"/>
        <w:contextualSpacing/>
        <w:jc w:val="left"/>
        <w:rPr>
          <w:rFonts w:ascii="MS Reference Sans Serif" w:hAnsi="MS Reference Sans Serif"/>
          <w:sz w:val="22"/>
        </w:rPr>
      </w:pPr>
    </w:p>
    <w:p w14:paraId="1F245A96" w14:textId="5724C719"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Van </w:t>
      </w:r>
      <w:proofErr w:type="spellStart"/>
      <w:r w:rsidRPr="00E33192">
        <w:rPr>
          <w:rFonts w:ascii="MS Reference Sans Serif" w:hAnsi="MS Reference Sans Serif"/>
          <w:sz w:val="22"/>
        </w:rPr>
        <w:t>Nieuwerburgh</w:t>
      </w:r>
      <w:proofErr w:type="spellEnd"/>
      <w:r w:rsidRPr="00E33192">
        <w:rPr>
          <w:rFonts w:ascii="MS Reference Sans Serif" w:hAnsi="MS Reference Sans Serif"/>
          <w:sz w:val="22"/>
        </w:rPr>
        <w:t xml:space="preserve">, C. (2012). </w:t>
      </w:r>
      <w:r w:rsidRPr="00E33192">
        <w:rPr>
          <w:rFonts w:ascii="MS Reference Sans Serif" w:hAnsi="MS Reference Sans Serif"/>
          <w:i/>
          <w:sz w:val="22"/>
        </w:rPr>
        <w:t>Coaching in education: Getting better results for students, educators, and parents</w:t>
      </w:r>
      <w:r w:rsidRPr="00E33192">
        <w:rPr>
          <w:rFonts w:ascii="MS Reference Sans Serif" w:hAnsi="MS Reference Sans Serif"/>
          <w:sz w:val="22"/>
        </w:rPr>
        <w:t xml:space="preserve">. </w:t>
      </w:r>
      <w:proofErr w:type="spellStart"/>
      <w:r w:rsidRPr="00E33192">
        <w:rPr>
          <w:rFonts w:ascii="MS Reference Sans Serif" w:hAnsi="MS Reference Sans Serif"/>
          <w:sz w:val="22"/>
        </w:rPr>
        <w:t>Karnac</w:t>
      </w:r>
      <w:proofErr w:type="spellEnd"/>
      <w:r w:rsidRPr="00E33192">
        <w:rPr>
          <w:rFonts w:ascii="MS Reference Sans Serif" w:hAnsi="MS Reference Sans Serif"/>
          <w:sz w:val="22"/>
        </w:rPr>
        <w:t xml:space="preserve"> Books. </w:t>
      </w:r>
      <w:hyperlink r:id="rId33" w:history="1">
        <w:r w:rsidRPr="00E33192">
          <w:rPr>
            <w:rStyle w:val="Hyperlink"/>
            <w:rFonts w:ascii="MS Reference Sans Serif" w:hAnsi="MS Reference Sans Serif"/>
            <w:sz w:val="22"/>
          </w:rPr>
          <w:t>https://doi.org/10.4324/9780429473036</w:t>
        </w:r>
      </w:hyperlink>
    </w:p>
    <w:p w14:paraId="50B3F0C0" w14:textId="77777777" w:rsidR="002D193C" w:rsidRPr="00E33192" w:rsidRDefault="002D193C" w:rsidP="002D193C">
      <w:pPr>
        <w:ind w:left="720" w:hanging="720"/>
        <w:contextualSpacing/>
        <w:jc w:val="left"/>
        <w:rPr>
          <w:rFonts w:ascii="MS Reference Sans Serif" w:hAnsi="MS Reference Sans Serif"/>
          <w:sz w:val="22"/>
        </w:rPr>
      </w:pPr>
    </w:p>
    <w:p w14:paraId="2227E1CC" w14:textId="07FBCCCD"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Villegas, A. M., &amp; Lucas, T. (2002). Preparing culturally responsive teachers: Rethinking the curriculum. </w:t>
      </w:r>
      <w:r w:rsidRPr="00E33192">
        <w:rPr>
          <w:rFonts w:ascii="MS Reference Sans Serif" w:hAnsi="MS Reference Sans Serif"/>
          <w:i/>
          <w:sz w:val="22"/>
        </w:rPr>
        <w:t>Journal of Teacher Education</w:t>
      </w:r>
      <w:r w:rsidRPr="003B3996">
        <w:rPr>
          <w:rFonts w:ascii="MS Reference Sans Serif" w:hAnsi="MS Reference Sans Serif"/>
          <w:iCs/>
          <w:sz w:val="22"/>
        </w:rPr>
        <w:t>,</w:t>
      </w:r>
      <w:r w:rsidRPr="00E33192">
        <w:rPr>
          <w:rFonts w:ascii="MS Reference Sans Serif" w:hAnsi="MS Reference Sans Serif"/>
          <w:i/>
          <w:sz w:val="22"/>
        </w:rPr>
        <w:t xml:space="preserve"> 53</w:t>
      </w:r>
      <w:r w:rsidRPr="00E33192">
        <w:rPr>
          <w:rFonts w:ascii="MS Reference Sans Serif" w:hAnsi="MS Reference Sans Serif"/>
          <w:sz w:val="22"/>
        </w:rPr>
        <w:t>(1), 20</w:t>
      </w:r>
      <w:r w:rsidR="00150194">
        <w:rPr>
          <w:rFonts w:ascii="MS Reference Sans Serif" w:hAnsi="MS Reference Sans Serif"/>
          <w:sz w:val="22"/>
        </w:rPr>
        <w:t>–</w:t>
      </w:r>
      <w:r w:rsidRPr="00E33192">
        <w:rPr>
          <w:rFonts w:ascii="MS Reference Sans Serif" w:hAnsi="MS Reference Sans Serif"/>
          <w:sz w:val="22"/>
        </w:rPr>
        <w:t xml:space="preserve">32. </w:t>
      </w:r>
      <w:hyperlink r:id="rId34" w:history="1">
        <w:r w:rsidRPr="00E33192">
          <w:rPr>
            <w:rStyle w:val="Hyperlink"/>
            <w:rFonts w:ascii="MS Reference Sans Serif" w:hAnsi="MS Reference Sans Serif"/>
            <w:sz w:val="22"/>
          </w:rPr>
          <w:t>https://doi.org/10.1177/0022487102053001003</w:t>
        </w:r>
      </w:hyperlink>
    </w:p>
    <w:p w14:paraId="6F0E2619" w14:textId="77777777" w:rsidR="002D193C" w:rsidRPr="00E33192" w:rsidRDefault="002D193C" w:rsidP="002D193C">
      <w:pPr>
        <w:ind w:left="720" w:hanging="720"/>
        <w:contextualSpacing/>
        <w:jc w:val="left"/>
        <w:rPr>
          <w:rFonts w:ascii="MS Reference Sans Serif" w:hAnsi="MS Reference Sans Serif"/>
          <w:sz w:val="22"/>
        </w:rPr>
      </w:pPr>
    </w:p>
    <w:p w14:paraId="0CD888DE" w14:textId="48C0F71D"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Webster-Wright, A. (2009). Reframing professional development through understanding authentic professional learning. </w:t>
      </w:r>
      <w:r w:rsidRPr="00E33192">
        <w:rPr>
          <w:rFonts w:ascii="MS Reference Sans Serif" w:hAnsi="MS Reference Sans Serif"/>
          <w:i/>
          <w:sz w:val="22"/>
        </w:rPr>
        <w:t>Review of Educational Research</w:t>
      </w:r>
      <w:r w:rsidRPr="00B950ED">
        <w:rPr>
          <w:rFonts w:ascii="MS Reference Sans Serif" w:hAnsi="MS Reference Sans Serif"/>
          <w:iCs/>
          <w:sz w:val="22"/>
        </w:rPr>
        <w:t>,</w:t>
      </w:r>
      <w:r w:rsidRPr="00E33192">
        <w:rPr>
          <w:rFonts w:ascii="MS Reference Sans Serif" w:hAnsi="MS Reference Sans Serif"/>
          <w:i/>
          <w:sz w:val="22"/>
        </w:rPr>
        <w:t xml:space="preserve"> 79</w:t>
      </w:r>
      <w:r w:rsidRPr="00E33192">
        <w:rPr>
          <w:rFonts w:ascii="MS Reference Sans Serif" w:hAnsi="MS Reference Sans Serif"/>
          <w:sz w:val="22"/>
        </w:rPr>
        <w:t>(2), 702</w:t>
      </w:r>
      <w:r w:rsidR="00150194">
        <w:rPr>
          <w:rFonts w:ascii="MS Reference Sans Serif" w:hAnsi="MS Reference Sans Serif"/>
          <w:sz w:val="22"/>
        </w:rPr>
        <w:t>–</w:t>
      </w:r>
      <w:r w:rsidRPr="00E33192">
        <w:rPr>
          <w:rFonts w:ascii="MS Reference Sans Serif" w:hAnsi="MS Reference Sans Serif"/>
          <w:sz w:val="22"/>
        </w:rPr>
        <w:t xml:space="preserve">739. </w:t>
      </w:r>
      <w:hyperlink r:id="rId35" w:history="1">
        <w:r w:rsidRPr="00E33192">
          <w:rPr>
            <w:rStyle w:val="Hyperlink"/>
            <w:rFonts w:ascii="MS Reference Sans Serif" w:hAnsi="MS Reference Sans Serif"/>
            <w:sz w:val="22"/>
          </w:rPr>
          <w:t>https://doi.org/10.3102/0034654308330970</w:t>
        </w:r>
      </w:hyperlink>
    </w:p>
    <w:p w14:paraId="6A0762D2" w14:textId="77777777" w:rsidR="002D193C" w:rsidRPr="00E33192" w:rsidRDefault="002D193C" w:rsidP="002D193C">
      <w:pPr>
        <w:ind w:left="720" w:hanging="720"/>
        <w:contextualSpacing/>
        <w:jc w:val="left"/>
        <w:rPr>
          <w:rFonts w:ascii="MS Reference Sans Serif" w:hAnsi="MS Reference Sans Serif"/>
          <w:sz w:val="22"/>
        </w:rPr>
      </w:pPr>
    </w:p>
    <w:p w14:paraId="3866F8A4" w14:textId="77777777"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Wright, W. E. (2015). </w:t>
      </w:r>
      <w:r w:rsidRPr="00E33192">
        <w:rPr>
          <w:rFonts w:ascii="MS Reference Sans Serif" w:hAnsi="MS Reference Sans Serif"/>
          <w:i/>
          <w:sz w:val="22"/>
        </w:rPr>
        <w:t xml:space="preserve">Foundations for teaching English language learners: Research, theory, policy, and practice </w:t>
      </w:r>
      <w:r w:rsidRPr="00E33192">
        <w:rPr>
          <w:rFonts w:ascii="MS Reference Sans Serif" w:hAnsi="MS Reference Sans Serif"/>
          <w:sz w:val="22"/>
        </w:rPr>
        <w:t>(2nd ed.). Caslon Publishing.</w:t>
      </w:r>
    </w:p>
    <w:p w14:paraId="615D8A10" w14:textId="77777777" w:rsidR="002D193C" w:rsidRPr="00E33192" w:rsidRDefault="002D193C" w:rsidP="002D193C">
      <w:pPr>
        <w:ind w:left="720" w:hanging="720"/>
        <w:contextualSpacing/>
        <w:jc w:val="left"/>
        <w:rPr>
          <w:rFonts w:ascii="MS Reference Sans Serif" w:hAnsi="MS Reference Sans Serif"/>
          <w:sz w:val="22"/>
        </w:rPr>
      </w:pPr>
    </w:p>
    <w:p w14:paraId="5C866386" w14:textId="5F079200" w:rsidR="002D193C" w:rsidRPr="00E33192" w:rsidRDefault="002D193C" w:rsidP="002D193C">
      <w:pPr>
        <w:ind w:left="720" w:hanging="720"/>
        <w:contextualSpacing/>
        <w:jc w:val="left"/>
        <w:rPr>
          <w:rFonts w:ascii="MS Reference Sans Serif" w:hAnsi="MS Reference Sans Serif"/>
          <w:sz w:val="22"/>
        </w:rPr>
      </w:pPr>
      <w:r w:rsidRPr="00E33192">
        <w:rPr>
          <w:rFonts w:ascii="MS Reference Sans Serif" w:hAnsi="MS Reference Sans Serif"/>
          <w:sz w:val="22"/>
        </w:rPr>
        <w:t xml:space="preserve">Wyatt, T. (2015). Understanding the process of contextualization. </w:t>
      </w:r>
      <w:r w:rsidRPr="00E33192">
        <w:rPr>
          <w:rFonts w:ascii="MS Reference Sans Serif" w:hAnsi="MS Reference Sans Serif"/>
          <w:i/>
          <w:sz w:val="22"/>
        </w:rPr>
        <w:t>Multicultural Learning and Teaching</w:t>
      </w:r>
      <w:r w:rsidRPr="00627C5F">
        <w:rPr>
          <w:rFonts w:ascii="MS Reference Sans Serif" w:hAnsi="MS Reference Sans Serif"/>
          <w:iCs/>
          <w:sz w:val="22"/>
        </w:rPr>
        <w:t>,</w:t>
      </w:r>
      <w:r w:rsidRPr="00E33192">
        <w:rPr>
          <w:rFonts w:ascii="MS Reference Sans Serif" w:hAnsi="MS Reference Sans Serif"/>
          <w:i/>
          <w:sz w:val="22"/>
        </w:rPr>
        <w:t xml:space="preserve"> 10</w:t>
      </w:r>
      <w:r w:rsidRPr="00E33192">
        <w:rPr>
          <w:rFonts w:ascii="MS Reference Sans Serif" w:hAnsi="MS Reference Sans Serif"/>
          <w:sz w:val="22"/>
        </w:rPr>
        <w:t>(1), 111</w:t>
      </w:r>
      <w:r w:rsidR="00150194">
        <w:rPr>
          <w:rFonts w:ascii="MS Reference Sans Serif" w:hAnsi="MS Reference Sans Serif"/>
          <w:sz w:val="22"/>
        </w:rPr>
        <w:t>–</w:t>
      </w:r>
      <w:r w:rsidRPr="00E33192">
        <w:rPr>
          <w:rFonts w:ascii="MS Reference Sans Serif" w:hAnsi="MS Reference Sans Serif"/>
          <w:sz w:val="22"/>
        </w:rPr>
        <w:t xml:space="preserve">132. </w:t>
      </w:r>
      <w:hyperlink r:id="rId36" w:history="1">
        <w:r w:rsidRPr="00E33192">
          <w:rPr>
            <w:rStyle w:val="Hyperlink"/>
            <w:rFonts w:ascii="MS Reference Sans Serif" w:hAnsi="MS Reference Sans Serif"/>
            <w:sz w:val="22"/>
          </w:rPr>
          <w:t>https://doi.org/10.1515/mlt-2013-0026</w:t>
        </w:r>
      </w:hyperlink>
    </w:p>
    <w:p w14:paraId="2AA4F21C" w14:textId="77777777" w:rsidR="002D193C" w:rsidRPr="00E33192" w:rsidRDefault="002D193C" w:rsidP="002D193C">
      <w:pPr>
        <w:ind w:left="720" w:hanging="720"/>
        <w:contextualSpacing/>
        <w:jc w:val="left"/>
        <w:rPr>
          <w:rFonts w:ascii="MS Reference Sans Serif" w:hAnsi="MS Reference Sans Serif"/>
          <w:sz w:val="22"/>
        </w:rPr>
      </w:pPr>
    </w:p>
    <w:p w14:paraId="431CE858" w14:textId="77777777" w:rsidR="0018695E" w:rsidRPr="004F16DF" w:rsidRDefault="0018695E" w:rsidP="002D193C">
      <w:pPr>
        <w:jc w:val="left"/>
        <w:rPr>
          <w:rFonts w:ascii="MS Reference Sans Serif" w:hAnsi="MS Reference Sans Serif"/>
          <w:sz w:val="22"/>
          <w:szCs w:val="22"/>
        </w:rPr>
      </w:pPr>
    </w:p>
    <w:sectPr w:rsidR="0018695E" w:rsidRPr="004F16DF" w:rsidSect="00AD557F">
      <w:headerReference w:type="default" r:id="rId37"/>
      <w:footerReference w:type="default" r:id="rId38"/>
      <w:headerReference w:type="first" r:id="rId39"/>
      <w:footerReference w:type="first" r:id="rId40"/>
      <w:pgSz w:w="12240" w:h="15840"/>
      <w:pgMar w:top="1440" w:right="1440" w:bottom="1440" w:left="1440" w:header="720" w:footer="720" w:gutter="0"/>
      <w:pgNumType w:start="3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EA2D" w14:textId="77777777" w:rsidR="00BE6834" w:rsidRDefault="00BE6834" w:rsidP="00563967">
      <w:r>
        <w:separator/>
      </w:r>
    </w:p>
  </w:endnote>
  <w:endnote w:type="continuationSeparator" w:id="0">
    <w:p w14:paraId="78BCB1B0" w14:textId="77777777" w:rsidR="00BE6834" w:rsidRDefault="00BE6834" w:rsidP="0056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0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B2E3" w14:textId="523B545B" w:rsidR="0012617B" w:rsidRPr="0012617B" w:rsidRDefault="0012617B" w:rsidP="0012617B">
    <w:pPr>
      <w:pStyle w:val="Header"/>
      <w:jc w:val="right"/>
      <w:rPr>
        <w:rFonts w:ascii="MS Reference Sans Serif" w:hAnsi="MS Reference Sans Serif"/>
        <w:sz w:val="22"/>
        <w:szCs w:val="22"/>
      </w:rPr>
    </w:pPr>
    <w:r w:rsidRPr="0012617B">
      <w:rPr>
        <w:rFonts w:ascii="MS Reference Sans Serif" w:hAnsi="MS Reference Sans Serif"/>
        <w:i/>
        <w:sz w:val="22"/>
        <w:szCs w:val="22"/>
      </w:rPr>
      <w:t>Journal of Effective Teaching in Higher Education</w:t>
    </w:r>
    <w:r w:rsidRPr="0012617B">
      <w:rPr>
        <w:rFonts w:ascii="MS Reference Sans Serif" w:hAnsi="MS Reference Sans Serif"/>
        <w:sz w:val="22"/>
        <w:szCs w:val="22"/>
      </w:rPr>
      <w:t xml:space="preserve">, vol. </w:t>
    </w:r>
    <w:r w:rsidR="002D193C">
      <w:rPr>
        <w:rFonts w:ascii="MS Reference Sans Serif" w:hAnsi="MS Reference Sans Serif"/>
        <w:sz w:val="22"/>
        <w:szCs w:val="22"/>
      </w:rPr>
      <w:t>4</w:t>
    </w:r>
    <w:r w:rsidRPr="0012617B">
      <w:rPr>
        <w:rFonts w:ascii="MS Reference Sans Serif" w:hAnsi="MS Reference Sans Serif"/>
        <w:sz w:val="22"/>
        <w:szCs w:val="22"/>
      </w:rPr>
      <w:t xml:space="preserve">, no. </w:t>
    </w:r>
    <w:r w:rsidR="002D193C">
      <w:rPr>
        <w:rFonts w:ascii="MS Reference Sans Serif" w:hAnsi="MS Reference Sans Serif"/>
        <w:sz w:val="22"/>
        <w:szCs w:val="22"/>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9EB" w14:textId="6AA4A77D" w:rsidR="0012617B" w:rsidRPr="0012617B" w:rsidRDefault="0012617B" w:rsidP="00AF0E15">
    <w:pPr>
      <w:jc w:val="right"/>
      <w:rPr>
        <w:rFonts w:ascii="MS Reference Sans Serif" w:hAnsi="MS Reference Sans Serif"/>
        <w:sz w:val="22"/>
        <w:szCs w:val="22"/>
      </w:rPr>
    </w:pPr>
    <w:r w:rsidRPr="00AF0E15">
      <w:rPr>
        <w:rFonts w:ascii="MS Reference Sans Serif" w:hAnsi="MS Reference Sans Serif"/>
        <w:i/>
        <w:sz w:val="22"/>
        <w:szCs w:val="22"/>
      </w:rPr>
      <w:t>Journal of Effective Teaching in Higher Education</w:t>
    </w:r>
    <w:r w:rsidRPr="00AF0E15">
      <w:rPr>
        <w:rFonts w:ascii="MS Reference Sans Serif" w:hAnsi="MS Reference Sans Serif"/>
        <w:sz w:val="22"/>
        <w:szCs w:val="22"/>
      </w:rPr>
      <w:t xml:space="preserve">, vol. </w:t>
    </w:r>
    <w:r w:rsidR="002D193C" w:rsidRPr="00AF0E15">
      <w:rPr>
        <w:rFonts w:ascii="MS Reference Sans Serif" w:hAnsi="MS Reference Sans Serif"/>
        <w:sz w:val="22"/>
        <w:szCs w:val="22"/>
      </w:rPr>
      <w:t>4</w:t>
    </w:r>
    <w:r w:rsidRPr="00AF0E15">
      <w:rPr>
        <w:rFonts w:ascii="MS Reference Sans Serif" w:hAnsi="MS Reference Sans Serif"/>
        <w:sz w:val="22"/>
        <w:szCs w:val="22"/>
      </w:rPr>
      <w:t xml:space="preserve">, no. </w:t>
    </w:r>
    <w:r w:rsidR="002D193C" w:rsidRPr="00AF0E15">
      <w:rPr>
        <w:rFonts w:ascii="MS Reference Sans Serif" w:hAnsi="MS Reference Sans Serif"/>
        <w:sz w:val="22"/>
        <w:szCs w:val="22"/>
      </w:rPr>
      <w:t>3</w:t>
    </w:r>
    <w:r w:rsidR="00AF0E15" w:rsidRPr="00AF0E15">
      <w:rPr>
        <w:rFonts w:ascii="MS Reference Sans Serif" w:hAnsi="MS Reference Sans Serif"/>
        <w:sz w:val="22"/>
        <w:szCs w:val="22"/>
      </w:rPr>
      <w:br/>
    </w:r>
    <w:hyperlink r:id="rId1" w:history="1">
      <w:r w:rsidR="00AF0E15" w:rsidRPr="00154C70">
        <w:rPr>
          <w:rStyle w:val="Hyperlink"/>
          <w:rFonts w:ascii="MS Reference Sans Serif" w:hAnsi="MS Reference Sans Serif"/>
          <w:sz w:val="22"/>
          <w:szCs w:val="22"/>
        </w:rPr>
        <w:t xml:space="preserve">https://doi.org/10.36021/jethe.v4i3.216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20A4" w14:textId="77777777" w:rsidR="00BE6834" w:rsidRDefault="00BE6834" w:rsidP="00563967">
      <w:r>
        <w:separator/>
      </w:r>
    </w:p>
  </w:footnote>
  <w:footnote w:type="continuationSeparator" w:id="0">
    <w:p w14:paraId="195E9CEA" w14:textId="77777777" w:rsidR="00BE6834" w:rsidRDefault="00BE6834" w:rsidP="0056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AD53" w14:textId="082CD6D9" w:rsidR="0012617B" w:rsidRDefault="002D193C" w:rsidP="0012617B">
    <w:pPr>
      <w:pStyle w:val="Footer"/>
      <w:jc w:val="right"/>
    </w:pPr>
    <w:r>
      <w:rPr>
        <w:rFonts w:ascii="MS Reference Sans Serif" w:hAnsi="MS Reference Sans Serif"/>
        <w:i/>
        <w:sz w:val="22"/>
        <w:szCs w:val="22"/>
      </w:rPr>
      <w:t>Culturally Responsive Teaching Online</w:t>
    </w:r>
    <w:r w:rsidR="0012617B" w:rsidRPr="00E03787">
      <w:rPr>
        <w:rFonts w:ascii="MS Reference Sans Serif" w:hAnsi="MS Reference Sans Serif"/>
        <w:sz w:val="22"/>
        <w:szCs w:val="22"/>
      </w:rPr>
      <w:t xml:space="preserve"> </w:t>
    </w:r>
    <w:r w:rsidR="0012617B" w:rsidRPr="00E03787">
      <w:rPr>
        <w:rFonts w:ascii="MS Reference Sans Serif" w:hAnsi="MS Reference Sans Serif"/>
        <w:sz w:val="22"/>
        <w:szCs w:val="22"/>
      </w:rPr>
      <w:fldChar w:fldCharType="begin"/>
    </w:r>
    <w:r w:rsidR="0012617B" w:rsidRPr="00E03787">
      <w:rPr>
        <w:rFonts w:ascii="MS Reference Sans Serif" w:hAnsi="MS Reference Sans Serif"/>
        <w:sz w:val="22"/>
        <w:szCs w:val="22"/>
      </w:rPr>
      <w:instrText xml:space="preserve"> PAGE   \* MERGEFORMAT </w:instrText>
    </w:r>
    <w:r w:rsidR="0012617B" w:rsidRPr="00E03787">
      <w:rPr>
        <w:rFonts w:ascii="MS Reference Sans Serif" w:hAnsi="MS Reference Sans Serif"/>
        <w:sz w:val="22"/>
        <w:szCs w:val="22"/>
      </w:rPr>
      <w:fldChar w:fldCharType="separate"/>
    </w:r>
    <w:r w:rsidR="00671640" w:rsidRPr="00E03787">
      <w:rPr>
        <w:rFonts w:ascii="MS Reference Sans Serif" w:hAnsi="MS Reference Sans Serif"/>
        <w:noProof/>
        <w:sz w:val="22"/>
        <w:szCs w:val="22"/>
      </w:rPr>
      <w:t>18</w:t>
    </w:r>
    <w:r w:rsidR="0012617B" w:rsidRPr="00E03787">
      <w:rPr>
        <w:rFonts w:ascii="MS Reference Sans Serif" w:hAnsi="MS Reference Sans Serif"/>
        <w:noProof/>
        <w:sz w:val="22"/>
        <w:szCs w:val="22"/>
      </w:rPr>
      <w:fldChar w:fldCharType="end"/>
    </w:r>
  </w:p>
  <w:p w14:paraId="2AEAEBC5" w14:textId="77777777" w:rsidR="0012617B" w:rsidRPr="0012617B" w:rsidRDefault="0012617B" w:rsidP="001261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0B1D" w14:textId="77777777" w:rsidR="00B27112" w:rsidRDefault="00B27112">
    <w:pPr>
      <w:pStyle w:val="Header"/>
    </w:pPr>
    <w:r w:rsidRPr="00C85310">
      <w:rPr>
        <w:noProof/>
      </w:rPr>
      <w:drawing>
        <wp:inline distT="0" distB="0" distL="0" distR="0" wp14:anchorId="2748817E" wp14:editId="239C813D">
          <wp:extent cx="5943600" cy="651327"/>
          <wp:effectExtent l="0" t="0" r="0" b="0"/>
          <wp:docPr id="3" name="Picture 3" descr="C:\Users\devitaj\Desktop\JETHE\Artboard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vitaj\Desktop\JETHE\Artboard 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1327"/>
                  </a:xfrm>
                  <a:prstGeom prst="rect">
                    <a:avLst/>
                  </a:prstGeom>
                  <a:noFill/>
                  <a:ln>
                    <a:noFill/>
                  </a:ln>
                </pic:spPr>
              </pic:pic>
            </a:graphicData>
          </a:graphic>
        </wp:inline>
      </w:drawing>
    </w:r>
  </w:p>
  <w:p w14:paraId="1EFB441C" w14:textId="77777777" w:rsidR="00B27112" w:rsidRDefault="00B27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03EB"/>
    <w:multiLevelType w:val="hybridMultilevel"/>
    <w:tmpl w:val="1B12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0799"/>
    <w:multiLevelType w:val="hybridMultilevel"/>
    <w:tmpl w:val="13C48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54355"/>
    <w:multiLevelType w:val="multilevel"/>
    <w:tmpl w:val="969671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3114DDF"/>
    <w:multiLevelType w:val="multilevel"/>
    <w:tmpl w:val="76006B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B0427D"/>
    <w:multiLevelType w:val="multilevel"/>
    <w:tmpl w:val="233E4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AE53C6"/>
    <w:multiLevelType w:val="hybridMultilevel"/>
    <w:tmpl w:val="12164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5C7A41"/>
    <w:multiLevelType w:val="hybridMultilevel"/>
    <w:tmpl w:val="91A4A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006192"/>
    <w:multiLevelType w:val="multilevel"/>
    <w:tmpl w:val="297E370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67"/>
    <w:rsid w:val="00000594"/>
    <w:rsid w:val="0001335A"/>
    <w:rsid w:val="00016987"/>
    <w:rsid w:val="00020AB6"/>
    <w:rsid w:val="00055DA6"/>
    <w:rsid w:val="00056404"/>
    <w:rsid w:val="00062FBF"/>
    <w:rsid w:val="00080045"/>
    <w:rsid w:val="0009729F"/>
    <w:rsid w:val="000A13E2"/>
    <w:rsid w:val="000C0058"/>
    <w:rsid w:val="000F0281"/>
    <w:rsid w:val="00112F37"/>
    <w:rsid w:val="00120F64"/>
    <w:rsid w:val="0012617B"/>
    <w:rsid w:val="00140379"/>
    <w:rsid w:val="00150194"/>
    <w:rsid w:val="00153454"/>
    <w:rsid w:val="00153596"/>
    <w:rsid w:val="00176BD9"/>
    <w:rsid w:val="00184896"/>
    <w:rsid w:val="0018695E"/>
    <w:rsid w:val="00186AB1"/>
    <w:rsid w:val="001901C5"/>
    <w:rsid w:val="001C6ABD"/>
    <w:rsid w:val="001F4731"/>
    <w:rsid w:val="001F4A8D"/>
    <w:rsid w:val="00214076"/>
    <w:rsid w:val="00226C08"/>
    <w:rsid w:val="002713FD"/>
    <w:rsid w:val="00295B5A"/>
    <w:rsid w:val="002A59DE"/>
    <w:rsid w:val="002B01BA"/>
    <w:rsid w:val="002B40DE"/>
    <w:rsid w:val="002D193C"/>
    <w:rsid w:val="002E34B4"/>
    <w:rsid w:val="00316D42"/>
    <w:rsid w:val="0032396F"/>
    <w:rsid w:val="00343F0B"/>
    <w:rsid w:val="00352DDC"/>
    <w:rsid w:val="00366407"/>
    <w:rsid w:val="003741B3"/>
    <w:rsid w:val="00382B96"/>
    <w:rsid w:val="003A6AB5"/>
    <w:rsid w:val="003B3996"/>
    <w:rsid w:val="003C0A38"/>
    <w:rsid w:val="003E3E29"/>
    <w:rsid w:val="003E5E0D"/>
    <w:rsid w:val="0040783F"/>
    <w:rsid w:val="004321B7"/>
    <w:rsid w:val="00447EE9"/>
    <w:rsid w:val="004502D1"/>
    <w:rsid w:val="00450C72"/>
    <w:rsid w:val="004749E4"/>
    <w:rsid w:val="00474B27"/>
    <w:rsid w:val="00480FC1"/>
    <w:rsid w:val="004A6978"/>
    <w:rsid w:val="004A7067"/>
    <w:rsid w:val="004D171A"/>
    <w:rsid w:val="004E05FC"/>
    <w:rsid w:val="004F16DF"/>
    <w:rsid w:val="004F23C3"/>
    <w:rsid w:val="005032D5"/>
    <w:rsid w:val="00513AFB"/>
    <w:rsid w:val="00517EB0"/>
    <w:rsid w:val="00521D24"/>
    <w:rsid w:val="00532844"/>
    <w:rsid w:val="005549F9"/>
    <w:rsid w:val="0055541D"/>
    <w:rsid w:val="005615D4"/>
    <w:rsid w:val="0056262A"/>
    <w:rsid w:val="00563967"/>
    <w:rsid w:val="005A499F"/>
    <w:rsid w:val="005C2455"/>
    <w:rsid w:val="005D122D"/>
    <w:rsid w:val="005E501F"/>
    <w:rsid w:val="0061155F"/>
    <w:rsid w:val="00620100"/>
    <w:rsid w:val="00627C5F"/>
    <w:rsid w:val="006639B1"/>
    <w:rsid w:val="00671640"/>
    <w:rsid w:val="0069067A"/>
    <w:rsid w:val="00694CC8"/>
    <w:rsid w:val="006B137C"/>
    <w:rsid w:val="006D40C1"/>
    <w:rsid w:val="006D555A"/>
    <w:rsid w:val="006E2507"/>
    <w:rsid w:val="007819BB"/>
    <w:rsid w:val="00783160"/>
    <w:rsid w:val="007F1C2A"/>
    <w:rsid w:val="007F4C4A"/>
    <w:rsid w:val="0084445B"/>
    <w:rsid w:val="00844FF4"/>
    <w:rsid w:val="008510B4"/>
    <w:rsid w:val="00867316"/>
    <w:rsid w:val="00867D91"/>
    <w:rsid w:val="00873EAD"/>
    <w:rsid w:val="00877D60"/>
    <w:rsid w:val="00882EAF"/>
    <w:rsid w:val="008B566B"/>
    <w:rsid w:val="008C25D3"/>
    <w:rsid w:val="008D78B2"/>
    <w:rsid w:val="008F6023"/>
    <w:rsid w:val="00913B09"/>
    <w:rsid w:val="00920E13"/>
    <w:rsid w:val="00931911"/>
    <w:rsid w:val="00934F42"/>
    <w:rsid w:val="009619E1"/>
    <w:rsid w:val="00993FD2"/>
    <w:rsid w:val="009E5EDD"/>
    <w:rsid w:val="009F066A"/>
    <w:rsid w:val="009F2741"/>
    <w:rsid w:val="00A00C74"/>
    <w:rsid w:val="00A00CB5"/>
    <w:rsid w:val="00A10620"/>
    <w:rsid w:val="00A138EA"/>
    <w:rsid w:val="00A148FC"/>
    <w:rsid w:val="00A242BA"/>
    <w:rsid w:val="00A32D99"/>
    <w:rsid w:val="00A3679A"/>
    <w:rsid w:val="00A40B26"/>
    <w:rsid w:val="00A64946"/>
    <w:rsid w:val="00A73DEE"/>
    <w:rsid w:val="00A81A8E"/>
    <w:rsid w:val="00A81AEB"/>
    <w:rsid w:val="00A95F7B"/>
    <w:rsid w:val="00AB093F"/>
    <w:rsid w:val="00AB5066"/>
    <w:rsid w:val="00AC1930"/>
    <w:rsid w:val="00AC643F"/>
    <w:rsid w:val="00AD2D8A"/>
    <w:rsid w:val="00AD557F"/>
    <w:rsid w:val="00AF0E15"/>
    <w:rsid w:val="00B01D89"/>
    <w:rsid w:val="00B07401"/>
    <w:rsid w:val="00B26402"/>
    <w:rsid w:val="00B27112"/>
    <w:rsid w:val="00B81D28"/>
    <w:rsid w:val="00B950ED"/>
    <w:rsid w:val="00BE6834"/>
    <w:rsid w:val="00C0587D"/>
    <w:rsid w:val="00C07DB0"/>
    <w:rsid w:val="00C1532F"/>
    <w:rsid w:val="00C17A79"/>
    <w:rsid w:val="00C53B00"/>
    <w:rsid w:val="00C65EF8"/>
    <w:rsid w:val="00C662A5"/>
    <w:rsid w:val="00C94C27"/>
    <w:rsid w:val="00CE6246"/>
    <w:rsid w:val="00D03235"/>
    <w:rsid w:val="00D20A4A"/>
    <w:rsid w:val="00D2213A"/>
    <w:rsid w:val="00D35989"/>
    <w:rsid w:val="00D670DE"/>
    <w:rsid w:val="00D766D1"/>
    <w:rsid w:val="00D8158A"/>
    <w:rsid w:val="00DA4645"/>
    <w:rsid w:val="00DB7F0B"/>
    <w:rsid w:val="00DD4DD2"/>
    <w:rsid w:val="00DD5B15"/>
    <w:rsid w:val="00DE3F91"/>
    <w:rsid w:val="00DE57BF"/>
    <w:rsid w:val="00DF4EA1"/>
    <w:rsid w:val="00E03787"/>
    <w:rsid w:val="00E2047F"/>
    <w:rsid w:val="00E54844"/>
    <w:rsid w:val="00E6111D"/>
    <w:rsid w:val="00E72819"/>
    <w:rsid w:val="00E72DCE"/>
    <w:rsid w:val="00E85403"/>
    <w:rsid w:val="00EA4239"/>
    <w:rsid w:val="00EA74FF"/>
    <w:rsid w:val="00EB19A6"/>
    <w:rsid w:val="00EC25EF"/>
    <w:rsid w:val="00EE5511"/>
    <w:rsid w:val="00F15135"/>
    <w:rsid w:val="00F46228"/>
    <w:rsid w:val="00F53E8B"/>
    <w:rsid w:val="00F57DF8"/>
    <w:rsid w:val="00F675B4"/>
    <w:rsid w:val="00FA2161"/>
    <w:rsid w:val="00FB039E"/>
    <w:rsid w:val="00FD0998"/>
    <w:rsid w:val="00FD2116"/>
    <w:rsid w:val="00FF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3B41"/>
  <w15:chartTrackingRefBased/>
  <w15:docId w15:val="{D585F538-6D7A-4295-850C-A4BC1F9F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455"/>
    <w:pPr>
      <w:spacing w:after="120"/>
      <w:contextualSpacing/>
      <w:jc w:val="left"/>
      <w:outlineLvl w:val="0"/>
    </w:pPr>
    <w:rPr>
      <w:b/>
      <w:sz w:val="28"/>
      <w:szCs w:val="28"/>
    </w:rPr>
  </w:style>
  <w:style w:type="paragraph" w:styleId="Heading2">
    <w:name w:val="heading 2"/>
    <w:basedOn w:val="Normal"/>
    <w:next w:val="Normal"/>
    <w:link w:val="Heading2Char"/>
    <w:uiPriority w:val="9"/>
    <w:unhideWhenUsed/>
    <w:qFormat/>
    <w:rsid w:val="002D19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967"/>
    <w:pPr>
      <w:tabs>
        <w:tab w:val="center" w:pos="4680"/>
        <w:tab w:val="right" w:pos="9360"/>
      </w:tabs>
    </w:pPr>
  </w:style>
  <w:style w:type="character" w:customStyle="1" w:styleId="HeaderChar">
    <w:name w:val="Header Char"/>
    <w:basedOn w:val="DefaultParagraphFont"/>
    <w:link w:val="Header"/>
    <w:uiPriority w:val="99"/>
    <w:rsid w:val="00563967"/>
  </w:style>
  <w:style w:type="paragraph" w:styleId="Footer">
    <w:name w:val="footer"/>
    <w:basedOn w:val="Normal"/>
    <w:link w:val="FooterChar"/>
    <w:uiPriority w:val="99"/>
    <w:unhideWhenUsed/>
    <w:rsid w:val="00563967"/>
    <w:pPr>
      <w:tabs>
        <w:tab w:val="center" w:pos="4680"/>
        <w:tab w:val="right" w:pos="9360"/>
      </w:tabs>
    </w:pPr>
  </w:style>
  <w:style w:type="character" w:customStyle="1" w:styleId="FooterChar">
    <w:name w:val="Footer Char"/>
    <w:basedOn w:val="DefaultParagraphFont"/>
    <w:link w:val="Footer"/>
    <w:uiPriority w:val="99"/>
    <w:rsid w:val="00563967"/>
  </w:style>
  <w:style w:type="paragraph" w:styleId="ListParagraph">
    <w:name w:val="List Paragraph"/>
    <w:basedOn w:val="Normal"/>
    <w:uiPriority w:val="34"/>
    <w:qFormat/>
    <w:rsid w:val="00C65EF8"/>
    <w:pPr>
      <w:ind w:left="720"/>
      <w:contextualSpacing/>
    </w:pPr>
  </w:style>
  <w:style w:type="character" w:styleId="Hyperlink">
    <w:name w:val="Hyperlink"/>
    <w:basedOn w:val="DefaultParagraphFont"/>
    <w:uiPriority w:val="99"/>
    <w:unhideWhenUsed/>
    <w:rsid w:val="00C65EF8"/>
    <w:rPr>
      <w:color w:val="0000FF" w:themeColor="hyperlink"/>
      <w:u w:val="single"/>
    </w:rPr>
  </w:style>
  <w:style w:type="character" w:customStyle="1" w:styleId="UnresolvedMention1">
    <w:name w:val="Unresolved Mention1"/>
    <w:basedOn w:val="DefaultParagraphFont"/>
    <w:uiPriority w:val="99"/>
    <w:semiHidden/>
    <w:unhideWhenUsed/>
    <w:rsid w:val="00C65EF8"/>
    <w:rPr>
      <w:color w:val="605E5C"/>
      <w:shd w:val="clear" w:color="auto" w:fill="E1DFDD"/>
    </w:rPr>
  </w:style>
  <w:style w:type="paragraph" w:customStyle="1" w:styleId="SectionTitle">
    <w:name w:val="Section Title"/>
    <w:basedOn w:val="Normal"/>
    <w:next w:val="Normal"/>
    <w:uiPriority w:val="2"/>
    <w:qFormat/>
    <w:rsid w:val="00C17A79"/>
    <w:pPr>
      <w:pageBreakBefore/>
      <w:spacing w:line="480" w:lineRule="auto"/>
      <w:outlineLvl w:val="0"/>
    </w:pPr>
    <w:rPr>
      <w:rFonts w:asciiTheme="majorHAnsi" w:eastAsiaTheme="majorEastAsia" w:hAnsiTheme="majorHAnsi" w:cstheme="majorBidi"/>
      <w:color w:val="000000" w:themeColor="text1"/>
      <w:lang w:eastAsia="ja-JP"/>
    </w:rPr>
  </w:style>
  <w:style w:type="paragraph" w:styleId="NoSpacing">
    <w:name w:val="No Spacing"/>
    <w:aliases w:val="No Indent"/>
    <w:uiPriority w:val="3"/>
    <w:qFormat/>
    <w:rsid w:val="00C17A79"/>
    <w:pPr>
      <w:spacing w:line="480" w:lineRule="auto"/>
      <w:jc w:val="left"/>
    </w:pPr>
    <w:rPr>
      <w:rFonts w:asciiTheme="minorHAnsi" w:eastAsiaTheme="minorEastAsia" w:hAnsiTheme="minorHAnsi" w:cstheme="minorBidi"/>
      <w:color w:val="000000" w:themeColor="text1"/>
      <w:lang w:eastAsia="ja-JP"/>
    </w:rPr>
  </w:style>
  <w:style w:type="character" w:styleId="Emphasis">
    <w:name w:val="Emphasis"/>
    <w:basedOn w:val="DefaultParagraphFont"/>
    <w:uiPriority w:val="20"/>
    <w:qFormat/>
    <w:rsid w:val="00C17A79"/>
    <w:rPr>
      <w:i/>
      <w:iCs/>
    </w:rPr>
  </w:style>
  <w:style w:type="table" w:customStyle="1" w:styleId="APAReport">
    <w:name w:val="APA Report"/>
    <w:basedOn w:val="TableNormal"/>
    <w:uiPriority w:val="99"/>
    <w:rsid w:val="00C17A79"/>
    <w:pPr>
      <w:jc w:val="left"/>
    </w:pPr>
    <w:rPr>
      <w:rFonts w:asciiTheme="minorHAnsi" w:eastAsiaTheme="minorEastAsia" w:hAnsiTheme="minorHAnsi" w:cstheme="minorBidi"/>
      <w:color w:val="000000" w:themeColor="text1"/>
      <w:lang w:eastAsia="ja-JP"/>
    </w:r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C17A79"/>
    <w:pPr>
      <w:spacing w:before="240" w:line="480" w:lineRule="auto"/>
      <w:contextualSpacing/>
      <w:jc w:val="left"/>
    </w:pPr>
    <w:rPr>
      <w:rFonts w:asciiTheme="minorHAnsi" w:eastAsiaTheme="minorEastAsia" w:hAnsiTheme="minorHAnsi" w:cstheme="minorBidi"/>
      <w:color w:val="000000" w:themeColor="text1"/>
      <w:lang w:eastAsia="ja-JP"/>
    </w:rPr>
  </w:style>
  <w:style w:type="character" w:styleId="FollowedHyperlink">
    <w:name w:val="FollowedHyperlink"/>
    <w:basedOn w:val="DefaultParagraphFont"/>
    <w:uiPriority w:val="99"/>
    <w:semiHidden/>
    <w:unhideWhenUsed/>
    <w:rsid w:val="000A13E2"/>
    <w:rPr>
      <w:color w:val="800080" w:themeColor="followedHyperlink"/>
      <w:u w:val="single"/>
    </w:rPr>
  </w:style>
  <w:style w:type="paragraph" w:customStyle="1" w:styleId="Articletitle">
    <w:name w:val="Article title"/>
    <w:basedOn w:val="Normal"/>
    <w:next w:val="Normal"/>
    <w:qFormat/>
    <w:rsid w:val="005C2455"/>
    <w:pPr>
      <w:spacing w:after="120" w:line="360" w:lineRule="auto"/>
      <w:jc w:val="left"/>
    </w:pPr>
    <w:rPr>
      <w:rFonts w:eastAsia="Times New Roman"/>
      <w:b/>
      <w:sz w:val="28"/>
      <w:lang w:val="en-GB" w:eastAsia="en-GB"/>
    </w:rPr>
  </w:style>
  <w:style w:type="character" w:customStyle="1" w:styleId="Heading1Char">
    <w:name w:val="Heading 1 Char"/>
    <w:basedOn w:val="DefaultParagraphFont"/>
    <w:link w:val="Heading1"/>
    <w:uiPriority w:val="9"/>
    <w:rsid w:val="005C2455"/>
    <w:rPr>
      <w:b/>
      <w:sz w:val="28"/>
      <w:szCs w:val="28"/>
    </w:rPr>
  </w:style>
  <w:style w:type="character" w:customStyle="1" w:styleId="Heading2Char">
    <w:name w:val="Heading 2 Char"/>
    <w:basedOn w:val="DefaultParagraphFont"/>
    <w:link w:val="Heading2"/>
    <w:uiPriority w:val="9"/>
    <w:rsid w:val="002D193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D193C"/>
    <w:pPr>
      <w:contextualSpacing/>
      <w:jc w:val="left"/>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2D193C"/>
    <w:rPr>
      <w:rFonts w:eastAsiaTheme="majorEastAsia" w:cstheme="majorBidi"/>
      <w:spacing w:val="-10"/>
      <w:kern w:val="28"/>
      <w:sz w:val="36"/>
      <w:szCs w:val="56"/>
    </w:rPr>
  </w:style>
  <w:style w:type="character" w:styleId="CommentReference">
    <w:name w:val="annotation reference"/>
    <w:basedOn w:val="DefaultParagraphFont"/>
    <w:uiPriority w:val="99"/>
    <w:semiHidden/>
    <w:unhideWhenUsed/>
    <w:rsid w:val="002D193C"/>
    <w:rPr>
      <w:sz w:val="16"/>
      <w:szCs w:val="16"/>
    </w:rPr>
  </w:style>
  <w:style w:type="paragraph" w:styleId="CommentText">
    <w:name w:val="annotation text"/>
    <w:basedOn w:val="Normal"/>
    <w:link w:val="CommentTextChar"/>
    <w:uiPriority w:val="99"/>
    <w:unhideWhenUsed/>
    <w:rsid w:val="002D193C"/>
    <w:pPr>
      <w:spacing w:after="160"/>
      <w:jc w:val="left"/>
    </w:pPr>
    <w:rPr>
      <w:rFonts w:cstheme="minorBidi"/>
      <w:sz w:val="20"/>
      <w:szCs w:val="20"/>
    </w:rPr>
  </w:style>
  <w:style w:type="character" w:customStyle="1" w:styleId="CommentTextChar">
    <w:name w:val="Comment Text Char"/>
    <w:basedOn w:val="DefaultParagraphFont"/>
    <w:link w:val="CommentText"/>
    <w:uiPriority w:val="99"/>
    <w:rsid w:val="002D193C"/>
    <w:rPr>
      <w:rFonts w:cstheme="minorBidi"/>
      <w:sz w:val="20"/>
      <w:szCs w:val="20"/>
    </w:rPr>
  </w:style>
  <w:style w:type="paragraph" w:styleId="CommentSubject">
    <w:name w:val="annotation subject"/>
    <w:basedOn w:val="CommentText"/>
    <w:next w:val="CommentText"/>
    <w:link w:val="CommentSubjectChar"/>
    <w:uiPriority w:val="99"/>
    <w:semiHidden/>
    <w:unhideWhenUsed/>
    <w:rsid w:val="002D193C"/>
    <w:rPr>
      <w:b/>
      <w:bCs/>
    </w:rPr>
  </w:style>
  <w:style w:type="character" w:customStyle="1" w:styleId="CommentSubjectChar">
    <w:name w:val="Comment Subject Char"/>
    <w:basedOn w:val="CommentTextChar"/>
    <w:link w:val="CommentSubject"/>
    <w:uiPriority w:val="99"/>
    <w:semiHidden/>
    <w:rsid w:val="002D193C"/>
    <w:rPr>
      <w:rFonts w:cstheme="minorBidi"/>
      <w:b/>
      <w:bCs/>
      <w:sz w:val="20"/>
      <w:szCs w:val="20"/>
    </w:rPr>
  </w:style>
  <w:style w:type="paragraph" w:styleId="BalloonText">
    <w:name w:val="Balloon Text"/>
    <w:basedOn w:val="Normal"/>
    <w:link w:val="BalloonTextChar"/>
    <w:uiPriority w:val="99"/>
    <w:semiHidden/>
    <w:unhideWhenUsed/>
    <w:rsid w:val="002D193C"/>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93C"/>
    <w:rPr>
      <w:rFonts w:ascii="Segoe UI" w:hAnsi="Segoe UI" w:cs="Segoe UI"/>
      <w:sz w:val="18"/>
      <w:szCs w:val="18"/>
    </w:rPr>
  </w:style>
  <w:style w:type="paragraph" w:styleId="NormalWeb">
    <w:name w:val="Normal (Web)"/>
    <w:basedOn w:val="Normal"/>
    <w:uiPriority w:val="99"/>
    <w:unhideWhenUsed/>
    <w:rsid w:val="002D193C"/>
    <w:pPr>
      <w:spacing w:before="100" w:beforeAutospacing="1" w:after="100" w:afterAutospacing="1"/>
      <w:jc w:val="left"/>
    </w:pPr>
    <w:rPr>
      <w:rFonts w:eastAsia="Times New Roman"/>
    </w:rPr>
  </w:style>
  <w:style w:type="table" w:styleId="TableGrid">
    <w:name w:val="Table Grid"/>
    <w:basedOn w:val="TableNormal"/>
    <w:uiPriority w:val="39"/>
    <w:rsid w:val="002D193C"/>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D193C"/>
    <w:pPr>
      <w:jc w:val="left"/>
    </w:pPr>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2D193C"/>
    <w:pPr>
      <w:jc w:val="left"/>
    </w:pPr>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2D193C"/>
    <w:pPr>
      <w:widowControl w:val="0"/>
      <w:autoSpaceDE w:val="0"/>
      <w:autoSpaceDN w:val="0"/>
      <w:jc w:val="left"/>
    </w:pPr>
    <w:rPr>
      <w:rFonts w:eastAsia="Times New Roman"/>
    </w:rPr>
  </w:style>
  <w:style w:type="character" w:customStyle="1" w:styleId="BodyTextChar">
    <w:name w:val="Body Text Char"/>
    <w:basedOn w:val="DefaultParagraphFont"/>
    <w:link w:val="BodyText"/>
    <w:uiPriority w:val="1"/>
    <w:rsid w:val="002D193C"/>
    <w:rPr>
      <w:rFonts w:eastAsia="Times New Roman"/>
    </w:rPr>
  </w:style>
  <w:style w:type="paragraph" w:styleId="Revision">
    <w:name w:val="Revision"/>
    <w:hidden/>
    <w:uiPriority w:val="99"/>
    <w:semiHidden/>
    <w:rsid w:val="002D193C"/>
    <w:pPr>
      <w:jc w:val="left"/>
    </w:pPr>
    <w:rPr>
      <w:rFonts w:cstheme="minorBidi"/>
      <w:szCs w:val="22"/>
    </w:rPr>
  </w:style>
  <w:style w:type="paragraph" w:customStyle="1" w:styleId="Authornames">
    <w:name w:val="Author names"/>
    <w:basedOn w:val="Normal"/>
    <w:next w:val="Normal"/>
    <w:qFormat/>
    <w:rsid w:val="002D193C"/>
    <w:pPr>
      <w:spacing w:before="240" w:line="360" w:lineRule="auto"/>
      <w:jc w:val="left"/>
    </w:pPr>
    <w:rPr>
      <w:rFonts w:eastAsia="Times New Roman"/>
      <w:sz w:val="28"/>
      <w:lang w:val="en-GB" w:eastAsia="en-GB"/>
    </w:rPr>
  </w:style>
  <w:style w:type="paragraph" w:customStyle="1" w:styleId="Affiliation">
    <w:name w:val="Affiliation"/>
    <w:basedOn w:val="Normal"/>
    <w:qFormat/>
    <w:rsid w:val="002D193C"/>
    <w:pPr>
      <w:spacing w:before="240" w:line="360" w:lineRule="auto"/>
      <w:jc w:val="left"/>
    </w:pPr>
    <w:rPr>
      <w:rFonts w:eastAsia="Times New Roman"/>
      <w:i/>
      <w:lang w:val="en-GB" w:eastAsia="en-GB"/>
    </w:rPr>
  </w:style>
  <w:style w:type="paragraph" w:customStyle="1" w:styleId="Correspondencedetails">
    <w:name w:val="Correspondence details"/>
    <w:basedOn w:val="Normal"/>
    <w:qFormat/>
    <w:rsid w:val="002D193C"/>
    <w:pPr>
      <w:spacing w:before="240" w:line="360" w:lineRule="auto"/>
      <w:jc w:val="left"/>
    </w:pPr>
    <w:rPr>
      <w:rFonts w:eastAsia="Times New Roman"/>
      <w:lang w:val="en-GB" w:eastAsia="en-GB"/>
    </w:rPr>
  </w:style>
  <w:style w:type="paragraph" w:customStyle="1" w:styleId="Notesoncontributors">
    <w:name w:val="Notes on contributors"/>
    <w:basedOn w:val="Normal"/>
    <w:qFormat/>
    <w:rsid w:val="002D193C"/>
    <w:pPr>
      <w:spacing w:before="240" w:line="360" w:lineRule="auto"/>
      <w:jc w:val="left"/>
    </w:pPr>
    <w:rPr>
      <w:rFonts w:eastAsia="Times New Roman"/>
      <w:sz w:val="22"/>
      <w:lang w:val="en-GB" w:eastAsia="en-GB"/>
    </w:rPr>
  </w:style>
  <w:style w:type="character" w:styleId="UnresolvedMention">
    <w:name w:val="Unresolved Mention"/>
    <w:basedOn w:val="DefaultParagraphFont"/>
    <w:uiPriority w:val="99"/>
    <w:semiHidden/>
    <w:unhideWhenUsed/>
    <w:rsid w:val="00AB5066"/>
    <w:rPr>
      <w:color w:val="605E5C"/>
      <w:shd w:val="clear" w:color="auto" w:fill="E1DFDD"/>
    </w:rPr>
  </w:style>
  <w:style w:type="character" w:customStyle="1" w:styleId="value">
    <w:name w:val="value"/>
    <w:basedOn w:val="DefaultParagraphFont"/>
    <w:rsid w:val="00AF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32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EA-02-2013-0026" TargetMode="External"/><Relationship Id="rId18" Type="http://schemas.openxmlformats.org/officeDocument/2006/relationships/hyperlink" Target="https://doi.org/10.1080/19415257.2014.973528" TargetMode="External"/><Relationship Id="rId26" Type="http://schemas.openxmlformats.org/officeDocument/2006/relationships/hyperlink" Target="https://doi.org/10.1016/j.tate.2006.07.011" TargetMode="External"/><Relationship Id="rId39" Type="http://schemas.openxmlformats.org/officeDocument/2006/relationships/header" Target="header2.xml"/><Relationship Id="rId21" Type="http://schemas.openxmlformats.org/officeDocument/2006/relationships/hyperlink" Target="https://doi.org/10.1080/00131725.2018.1474985" TargetMode="External"/><Relationship Id="rId34" Type="http://schemas.openxmlformats.org/officeDocument/2006/relationships/hyperlink" Target="https://doi.org/10.1177/0022487102053001003"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111/curi.12002" TargetMode="External"/><Relationship Id="rId20" Type="http://schemas.openxmlformats.org/officeDocument/2006/relationships/hyperlink" Target="https://doi.org/10.1080/00461520.2016.1207177" TargetMode="External"/><Relationship Id="rId29" Type="http://schemas.openxmlformats.org/officeDocument/2006/relationships/hyperlink" Target="http://www.informingscience.org/Publications/350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tesq.223" TargetMode="External"/><Relationship Id="rId24" Type="http://schemas.openxmlformats.org/officeDocument/2006/relationships/hyperlink" Target="http://www.officeforeducationpolicy.org/a-brief-history-of-english-language-learners-in-arkansas/" TargetMode="External"/><Relationship Id="rId32" Type="http://schemas.openxmlformats.org/officeDocument/2006/relationships/hyperlink" Target="https://nces.ed.gov/fastfacts/display.asp?id=9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2/tesq.347" TargetMode="External"/><Relationship Id="rId23" Type="http://schemas.openxmlformats.org/officeDocument/2006/relationships/hyperlink" Target="https://doi.org/10.1086/688871" TargetMode="External"/><Relationship Id="rId28" Type="http://schemas.openxmlformats.org/officeDocument/2006/relationships/hyperlink" Target="https://doi.org/10.1111/jcal.12258" TargetMode="External"/><Relationship Id="rId36" Type="http://schemas.openxmlformats.org/officeDocument/2006/relationships/hyperlink" Target="https://doi.org/10.1515/mlt-2013-0026" TargetMode="External"/><Relationship Id="rId10" Type="http://schemas.openxmlformats.org/officeDocument/2006/relationships/hyperlink" Target="https://doi.org/10.3102/0091732X12461772" TargetMode="External"/><Relationship Id="rId19" Type="http://schemas.openxmlformats.org/officeDocument/2006/relationships/hyperlink" Target="https://doi.org/10.1080/19415250903467199" TargetMode="External"/><Relationship Id="rId31" Type="http://schemas.openxmlformats.org/officeDocument/2006/relationships/hyperlink" Target="https://doi.org/10.1177/0042085913481362" TargetMode="External"/><Relationship Id="rId4" Type="http://schemas.openxmlformats.org/officeDocument/2006/relationships/webSettings" Target="webSettings.xml"/><Relationship Id="rId9" Type="http://schemas.openxmlformats.org/officeDocument/2006/relationships/hyperlink" Target="https://www.census.gov/programs-surveys/acs" TargetMode="External"/><Relationship Id="rId14" Type="http://schemas.openxmlformats.org/officeDocument/2006/relationships/hyperlink" Target="https://doi.org/10.1093/elt/cct032" TargetMode="External"/><Relationship Id="rId22" Type="http://schemas.openxmlformats.org/officeDocument/2006/relationships/hyperlink" Target="https://doi.org/10.3390/educsci9020101" TargetMode="External"/><Relationship Id="rId27" Type="http://schemas.openxmlformats.org/officeDocument/2006/relationships/hyperlink" Target="https://doi.org/10.1177/0042085911431472" TargetMode="External"/><Relationship Id="rId30" Type="http://schemas.openxmlformats.org/officeDocument/2006/relationships/hyperlink" Target="http://dx.doi.org/10.14507/epaa.27.3696" TargetMode="External"/><Relationship Id="rId35" Type="http://schemas.openxmlformats.org/officeDocument/2006/relationships/hyperlink" Target="https://doi.org/10.3102/0034654308330970" TargetMode="External"/><Relationship Id="rId8" Type="http://schemas.openxmlformats.org/officeDocument/2006/relationships/hyperlink" Target="https://files.eric.ed.gov/fulltext/ED541571.pdf" TargetMode="External"/><Relationship Id="rId3" Type="http://schemas.openxmlformats.org/officeDocument/2006/relationships/settings" Target="settings.xml"/><Relationship Id="rId12" Type="http://schemas.openxmlformats.org/officeDocument/2006/relationships/hyperlink" Target="https://www.instructionalcoaching.com/research/" TargetMode="External"/><Relationship Id="rId17" Type="http://schemas.openxmlformats.org/officeDocument/2006/relationships/hyperlink" Target="https://doi.org/10.7275/fs4z-nb61" TargetMode="External"/><Relationship Id="rId25" Type="http://schemas.openxmlformats.org/officeDocument/2006/relationships/hyperlink" Target="https://doi.org/10.1111/j.1468-0262.2005.00584.x" TargetMode="External"/><Relationship Id="rId33" Type="http://schemas.openxmlformats.org/officeDocument/2006/relationships/hyperlink" Target="https://doi.org/10.4324/9780429473036"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oi.org/10.36021/jethe.v4i3.216%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Percent Effective or 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Teaching People of Other Cultures</c:v>
                </c:pt>
                <c:pt idx="1">
                  <c:v>Second Language Methodologies</c:v>
                </c:pt>
                <c:pt idx="2">
                  <c:v>Second Language Acquisition</c:v>
                </c:pt>
                <c:pt idx="3">
                  <c:v>Second Language Assessment</c:v>
                </c:pt>
              </c:strCache>
            </c:strRef>
          </c:cat>
          <c:val>
            <c:numRef>
              <c:f>Sheet1!$B$2:$B$5</c:f>
              <c:numCache>
                <c:formatCode>0.00%</c:formatCode>
                <c:ptCount val="4"/>
                <c:pt idx="0">
                  <c:v>0.9</c:v>
                </c:pt>
                <c:pt idx="1">
                  <c:v>0.98550000000000004</c:v>
                </c:pt>
                <c:pt idx="2">
                  <c:v>0.9123</c:v>
                </c:pt>
                <c:pt idx="3">
                  <c:v>0.97619999999999996</c:v>
                </c:pt>
              </c:numCache>
            </c:numRef>
          </c:val>
          <c:extLst>
            <c:ext xmlns:c16="http://schemas.microsoft.com/office/drawing/2014/chart" uri="{C3380CC4-5D6E-409C-BE32-E72D297353CC}">
              <c16:uniqueId val="{00000000-CBD4-419E-9F76-8D66FAF5D6BD}"/>
            </c:ext>
          </c:extLst>
        </c:ser>
        <c:dLbls>
          <c:dLblPos val="inEnd"/>
          <c:showLegendKey val="0"/>
          <c:showVal val="1"/>
          <c:showCatName val="0"/>
          <c:showSerName val="0"/>
          <c:showPercent val="0"/>
          <c:showBubbleSize val="0"/>
        </c:dLbls>
        <c:gapWidth val="182"/>
        <c:axId val="1279907200"/>
        <c:axId val="1279901792"/>
      </c:barChart>
      <c:catAx>
        <c:axId val="1279907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901792"/>
        <c:crosses val="autoZero"/>
        <c:auto val="1"/>
        <c:lblAlgn val="ctr"/>
        <c:lblOffset val="100"/>
        <c:noMultiLvlLbl val="0"/>
      </c:catAx>
      <c:valAx>
        <c:axId val="1279901792"/>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90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6916</Words>
  <Characters>39424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DeVita, James M.</dc:creator>
  <cp:keywords/>
  <dc:description/>
  <cp:lastModifiedBy>Reilly, Colleen A.</cp:lastModifiedBy>
  <cp:revision>5</cp:revision>
  <dcterms:created xsi:type="dcterms:W3CDTF">2021-12-23T20:14:00Z</dcterms:created>
  <dcterms:modified xsi:type="dcterms:W3CDTF">2022-01-04T02:25:00Z</dcterms:modified>
</cp:coreProperties>
</file>